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5D2D5" w14:textId="77777777" w:rsidR="006C5A0A" w:rsidRPr="00CF7719" w:rsidRDefault="00C97C7D" w:rsidP="0000560D">
      <w:pPr>
        <w:pStyle w:val="NoSpacing"/>
        <w:jc w:val="center"/>
        <w:outlineLvl w:val="0"/>
        <w:rPr>
          <w:b/>
        </w:rPr>
      </w:pPr>
      <w:r w:rsidRPr="00CF7719">
        <w:rPr>
          <w:b/>
        </w:rPr>
        <w:t>VITA</w:t>
      </w:r>
    </w:p>
    <w:p w14:paraId="7395E70E" w14:textId="77777777" w:rsidR="00C97C7D" w:rsidRPr="00CF7719" w:rsidRDefault="00C97C7D" w:rsidP="00DD3A62">
      <w:pPr>
        <w:pStyle w:val="NoSpacing"/>
        <w:jc w:val="center"/>
        <w:rPr>
          <w:b/>
        </w:rPr>
      </w:pPr>
    </w:p>
    <w:p w14:paraId="58CDEE55" w14:textId="503CB2CB" w:rsidR="00D13B91" w:rsidRDefault="00732887" w:rsidP="00DD3A62">
      <w:pPr>
        <w:pStyle w:val="NoSpacing"/>
        <w:jc w:val="center"/>
        <w:outlineLvl w:val="0"/>
        <w:rPr>
          <w:b/>
        </w:rPr>
      </w:pPr>
      <w:r>
        <w:rPr>
          <w:b/>
        </w:rPr>
        <w:t>Evan D. McClintock</w:t>
      </w:r>
    </w:p>
    <w:p w14:paraId="6F3D2298" w14:textId="056CE52C" w:rsidR="00D13B91" w:rsidRDefault="00732887" w:rsidP="00DD3A62">
      <w:pPr>
        <w:pStyle w:val="NoSpacing"/>
        <w:jc w:val="center"/>
      </w:pPr>
      <w:r>
        <w:t>Senior Instructor</w:t>
      </w:r>
    </w:p>
    <w:p w14:paraId="17651AC1" w14:textId="77777777" w:rsidR="00C97C7D" w:rsidRDefault="00C97C7D" w:rsidP="00DD3A62">
      <w:pPr>
        <w:pStyle w:val="NoSpacing"/>
        <w:jc w:val="center"/>
      </w:pPr>
      <w:r>
        <w:t>University of Colorado Denver</w:t>
      </w:r>
    </w:p>
    <w:p w14:paraId="1CC02992" w14:textId="77777777" w:rsidR="00D13B91" w:rsidRDefault="00C97C7D" w:rsidP="00DD3A62">
      <w:pPr>
        <w:pStyle w:val="NoSpacing"/>
        <w:jc w:val="center"/>
      </w:pPr>
      <w:r>
        <w:t>School of Education &amp; Human Development</w:t>
      </w:r>
    </w:p>
    <w:p w14:paraId="08B3BA4B" w14:textId="468639E6" w:rsidR="0035162F" w:rsidRDefault="0035162F" w:rsidP="0035162F">
      <w:pPr>
        <w:pStyle w:val="NoSpacing"/>
      </w:pPr>
      <w:bookmarkStart w:id="0" w:name="_GoBack"/>
      <w:bookmarkEnd w:id="0"/>
    </w:p>
    <w:p w14:paraId="723DAB90" w14:textId="77777777" w:rsidR="00AC2C80" w:rsidRDefault="00AC2C80" w:rsidP="0035162F">
      <w:pPr>
        <w:pStyle w:val="NoSpacing"/>
      </w:pPr>
    </w:p>
    <w:p w14:paraId="45148580" w14:textId="3EC6A15C" w:rsidR="0078757A" w:rsidRPr="0078757A" w:rsidRDefault="000764F8" w:rsidP="0025393A">
      <w:pPr>
        <w:pStyle w:val="NoSpacing"/>
        <w:outlineLvl w:val="0"/>
        <w:rPr>
          <w:b/>
        </w:rPr>
      </w:pPr>
      <w:r w:rsidRPr="0078757A">
        <w:rPr>
          <w:b/>
        </w:rPr>
        <w:t>EDUCATION</w:t>
      </w:r>
    </w:p>
    <w:p w14:paraId="73030E58" w14:textId="5BFFCBDF" w:rsidR="001A5D54" w:rsidRPr="0078757A" w:rsidRDefault="001A5D54" w:rsidP="0078757A">
      <w:pPr>
        <w:pStyle w:val="NoSpacing"/>
        <w:tabs>
          <w:tab w:val="left" w:pos="2365"/>
          <w:tab w:val="left" w:pos="3625"/>
          <w:tab w:val="left" w:pos="4320"/>
          <w:tab w:val="left" w:pos="4860"/>
        </w:tabs>
        <w:rPr>
          <w:b/>
          <w:u w:val="single"/>
        </w:rPr>
      </w:pPr>
      <w:r w:rsidRPr="0078757A">
        <w:rPr>
          <w:b/>
          <w:u w:val="single"/>
        </w:rPr>
        <w:t>Institution</w:t>
      </w:r>
      <w:r w:rsidRPr="0078757A">
        <w:rPr>
          <w:b/>
          <w:u w:val="single"/>
        </w:rPr>
        <w:tab/>
      </w:r>
      <w:r w:rsidR="0046313E" w:rsidRPr="0078757A">
        <w:rPr>
          <w:b/>
          <w:u w:val="single"/>
        </w:rPr>
        <w:tab/>
      </w:r>
      <w:r w:rsidRPr="0078757A">
        <w:rPr>
          <w:b/>
          <w:u w:val="single"/>
        </w:rPr>
        <w:t>Degree</w:t>
      </w:r>
      <w:r w:rsidRPr="0078757A">
        <w:rPr>
          <w:b/>
          <w:u w:val="single"/>
        </w:rPr>
        <w:tab/>
      </w:r>
      <w:r w:rsidR="00DB78B8" w:rsidRPr="0078757A">
        <w:rPr>
          <w:b/>
          <w:u w:val="single"/>
        </w:rPr>
        <w:tab/>
      </w:r>
      <w:r w:rsidRPr="0078757A">
        <w:rPr>
          <w:b/>
          <w:u w:val="single"/>
        </w:rPr>
        <w:t>Date Received</w:t>
      </w:r>
      <w:r w:rsidRPr="0078757A">
        <w:rPr>
          <w:b/>
          <w:u w:val="single"/>
        </w:rPr>
        <w:tab/>
        <w:t>Major</w:t>
      </w:r>
    </w:p>
    <w:p w14:paraId="574A36F6" w14:textId="68D50914" w:rsidR="001A5D54" w:rsidRPr="0078757A" w:rsidRDefault="00AB763D" w:rsidP="0078757A">
      <w:pPr>
        <w:pStyle w:val="NoSpacing"/>
        <w:tabs>
          <w:tab w:val="left" w:pos="2365"/>
          <w:tab w:val="left" w:pos="3625"/>
          <w:tab w:val="left" w:pos="4770"/>
          <w:tab w:val="left" w:pos="5040"/>
        </w:tabs>
        <w:ind w:left="3624" w:hanging="3624"/>
      </w:pPr>
      <w:r>
        <w:t>New York</w:t>
      </w:r>
      <w:r w:rsidR="001A5D54" w:rsidRPr="0078757A">
        <w:t xml:space="preserve"> University</w:t>
      </w:r>
      <w:r w:rsidR="001A5D54" w:rsidRPr="0078757A">
        <w:tab/>
      </w:r>
      <w:r>
        <w:tab/>
      </w:r>
      <w:r w:rsidR="001A5D54" w:rsidRPr="0078757A">
        <w:t>Ph.D.</w:t>
      </w:r>
      <w:r>
        <w:t xml:space="preserve"> (ABD)</w:t>
      </w:r>
      <w:r w:rsidR="00DB78B8" w:rsidRPr="0078757A">
        <w:tab/>
      </w:r>
      <w:r w:rsidR="00DB78B8" w:rsidRPr="0078757A">
        <w:tab/>
      </w:r>
      <w:r w:rsidR="001A5D54" w:rsidRPr="0078757A">
        <w:t>08/2010</w:t>
      </w:r>
      <w:r w:rsidR="001A5D54" w:rsidRPr="0078757A">
        <w:tab/>
      </w:r>
      <w:r>
        <w:t>Teaching &amp; Learning</w:t>
      </w:r>
      <w:r w:rsidR="001A5D54" w:rsidRPr="0078757A">
        <w:t xml:space="preserve">: </w:t>
      </w:r>
      <w:r w:rsidR="00206420" w:rsidRPr="0078757A">
        <w:tab/>
      </w:r>
      <w:r w:rsidR="00206420" w:rsidRPr="0078757A">
        <w:tab/>
      </w:r>
      <w:r w:rsidR="00206420" w:rsidRPr="0078757A">
        <w:tab/>
      </w:r>
      <w:r w:rsidR="00206420" w:rsidRPr="0078757A">
        <w:tab/>
      </w:r>
      <w:r w:rsidR="00206420" w:rsidRPr="0078757A">
        <w:tab/>
      </w:r>
      <w:r w:rsidR="00DB78B8" w:rsidRPr="0078757A">
        <w:tab/>
      </w:r>
      <w:r>
        <w:tab/>
      </w:r>
      <w:r w:rsidR="001A5D54" w:rsidRPr="0078757A">
        <w:t>Mathematics Education</w:t>
      </w:r>
    </w:p>
    <w:p w14:paraId="0E2F8A3E" w14:textId="77777777" w:rsidR="00206420" w:rsidRPr="0078757A" w:rsidRDefault="00206420" w:rsidP="0078757A">
      <w:pPr>
        <w:pStyle w:val="NoSpacing"/>
        <w:tabs>
          <w:tab w:val="left" w:pos="2365"/>
          <w:tab w:val="left" w:pos="3625"/>
          <w:tab w:val="left" w:pos="5245"/>
        </w:tabs>
        <w:ind w:left="3624" w:hanging="3624"/>
      </w:pPr>
    </w:p>
    <w:p w14:paraId="552B51E9" w14:textId="7F45E7A4" w:rsidR="001A5D54" w:rsidRDefault="001A5D54" w:rsidP="0078757A">
      <w:pPr>
        <w:pStyle w:val="NoSpacing"/>
        <w:tabs>
          <w:tab w:val="left" w:pos="2365"/>
          <w:tab w:val="left" w:pos="3625"/>
          <w:tab w:val="left" w:pos="5040"/>
        </w:tabs>
      </w:pPr>
      <w:r w:rsidRPr="0078757A">
        <w:t>The Pennsylvania State University</w:t>
      </w:r>
      <w:r w:rsidRPr="0078757A">
        <w:tab/>
      </w:r>
      <w:r w:rsidRPr="0078757A">
        <w:tab/>
      </w:r>
      <w:r w:rsidR="00AB763D">
        <w:tab/>
      </w:r>
      <w:r w:rsidR="00AB763D">
        <w:tab/>
        <w:t>Curriculum</w:t>
      </w:r>
      <w:r w:rsidRPr="0078757A">
        <w:t xml:space="preserve"> &amp; </w:t>
      </w:r>
      <w:r w:rsidR="00AB763D">
        <w:t>Instruction:</w:t>
      </w:r>
    </w:p>
    <w:p w14:paraId="0AD3ED5E" w14:textId="6DD1533F" w:rsidR="00AB763D" w:rsidRDefault="00AB763D" w:rsidP="0078757A">
      <w:pPr>
        <w:pStyle w:val="NoSpacing"/>
        <w:tabs>
          <w:tab w:val="left" w:pos="2365"/>
          <w:tab w:val="left" w:pos="3625"/>
          <w:tab w:val="left" w:pos="5040"/>
        </w:tabs>
      </w:pPr>
      <w:r>
        <w:tab/>
      </w:r>
      <w:r>
        <w:tab/>
      </w:r>
      <w:r>
        <w:tab/>
      </w:r>
      <w:r>
        <w:tab/>
      </w:r>
      <w:r>
        <w:tab/>
        <w:t>Mathematics Education</w:t>
      </w:r>
    </w:p>
    <w:p w14:paraId="37D47D22" w14:textId="77777777" w:rsidR="00AB763D" w:rsidRDefault="00AB763D" w:rsidP="0078757A">
      <w:pPr>
        <w:pStyle w:val="NoSpacing"/>
        <w:tabs>
          <w:tab w:val="left" w:pos="2365"/>
          <w:tab w:val="left" w:pos="3625"/>
          <w:tab w:val="left" w:pos="5040"/>
        </w:tabs>
      </w:pPr>
    </w:p>
    <w:p w14:paraId="1273862F" w14:textId="39216907" w:rsidR="00AB763D" w:rsidRPr="0078757A" w:rsidRDefault="00AB763D" w:rsidP="0078757A">
      <w:pPr>
        <w:pStyle w:val="NoSpacing"/>
        <w:tabs>
          <w:tab w:val="left" w:pos="2365"/>
          <w:tab w:val="left" w:pos="3625"/>
          <w:tab w:val="left" w:pos="5040"/>
        </w:tabs>
      </w:pPr>
      <w:r>
        <w:t>Bucknell University</w:t>
      </w:r>
      <w:r>
        <w:tab/>
      </w:r>
      <w:r>
        <w:tab/>
      </w:r>
      <w:r>
        <w:tab/>
      </w:r>
      <w:r>
        <w:tab/>
      </w:r>
      <w:r>
        <w:tab/>
        <w:t>Educational Research</w:t>
      </w:r>
    </w:p>
    <w:p w14:paraId="39D6BCA4" w14:textId="77777777" w:rsidR="00206420" w:rsidRPr="0078757A" w:rsidRDefault="00206420" w:rsidP="0025393A">
      <w:pPr>
        <w:pStyle w:val="NoSpacing"/>
        <w:tabs>
          <w:tab w:val="left" w:pos="2365"/>
          <w:tab w:val="left" w:pos="3625"/>
          <w:tab w:val="left" w:pos="5245"/>
        </w:tabs>
      </w:pPr>
    </w:p>
    <w:p w14:paraId="79F2299D" w14:textId="0C21CF06" w:rsidR="001A5D54" w:rsidRPr="0078757A" w:rsidRDefault="001A5D54" w:rsidP="0078757A">
      <w:pPr>
        <w:pStyle w:val="NoSpacing"/>
        <w:tabs>
          <w:tab w:val="left" w:pos="2365"/>
          <w:tab w:val="left" w:pos="3625"/>
          <w:tab w:val="left" w:pos="5040"/>
        </w:tabs>
      </w:pPr>
      <w:r w:rsidRPr="0078757A">
        <w:t>The Pennsylvan</w:t>
      </w:r>
      <w:r w:rsidR="00AB763D">
        <w:t>ia State University</w:t>
      </w:r>
      <w:r w:rsidR="00AB763D">
        <w:tab/>
        <w:t>B.S.</w:t>
      </w:r>
      <w:r w:rsidR="00AB763D">
        <w:tab/>
        <w:t>05/1995</w:t>
      </w:r>
      <w:r w:rsidRPr="0078757A">
        <w:tab/>
      </w:r>
      <w:r w:rsidR="00AB763D">
        <w:t>Elementary Education</w:t>
      </w:r>
    </w:p>
    <w:p w14:paraId="42EBB1DE" w14:textId="77777777" w:rsidR="00AC2C80" w:rsidRDefault="00AC2C80" w:rsidP="0025393A">
      <w:pPr>
        <w:pStyle w:val="NoSpacing"/>
        <w:tabs>
          <w:tab w:val="left" w:pos="2365"/>
          <w:tab w:val="left" w:pos="3625"/>
          <w:tab w:val="left" w:pos="5245"/>
        </w:tabs>
      </w:pPr>
    </w:p>
    <w:p w14:paraId="1F70A760" w14:textId="77777777" w:rsidR="00430BD5" w:rsidRPr="0078757A" w:rsidRDefault="00430BD5" w:rsidP="0025393A">
      <w:pPr>
        <w:pStyle w:val="NoSpacing"/>
        <w:tabs>
          <w:tab w:val="left" w:pos="2365"/>
          <w:tab w:val="left" w:pos="3625"/>
          <w:tab w:val="left" w:pos="5245"/>
        </w:tabs>
      </w:pPr>
    </w:p>
    <w:p w14:paraId="5A33614C" w14:textId="77777777" w:rsidR="001A5D54" w:rsidRPr="0078757A" w:rsidRDefault="001A5D54" w:rsidP="0025393A">
      <w:pPr>
        <w:pStyle w:val="NoSpacing"/>
        <w:tabs>
          <w:tab w:val="left" w:pos="2365"/>
          <w:tab w:val="left" w:pos="3625"/>
          <w:tab w:val="left" w:pos="5245"/>
        </w:tabs>
      </w:pPr>
      <w:r w:rsidRPr="0078757A">
        <w:rPr>
          <w:b/>
          <w:u w:val="single"/>
        </w:rPr>
        <w:t>Certificates</w:t>
      </w:r>
      <w:r w:rsidRPr="0078757A">
        <w:tab/>
      </w:r>
      <w:r w:rsidRPr="0078757A">
        <w:tab/>
      </w:r>
      <w:r w:rsidRPr="0078757A">
        <w:tab/>
      </w:r>
    </w:p>
    <w:p w14:paraId="5538975E" w14:textId="77D65146" w:rsidR="007A7C03" w:rsidRDefault="007A7C03" w:rsidP="00AC2C80">
      <w:pPr>
        <w:pStyle w:val="NoSpacing"/>
        <w:tabs>
          <w:tab w:val="left" w:pos="2365"/>
          <w:tab w:val="left" w:pos="3625"/>
          <w:tab w:val="left" w:pos="5040"/>
        </w:tabs>
      </w:pPr>
      <w:r>
        <w:t>Commonwealth of PA</w:t>
      </w:r>
      <w:r>
        <w:tab/>
      </w:r>
      <w:r>
        <w:tab/>
        <w:t>Certificate</w:t>
      </w:r>
      <w:r>
        <w:tab/>
        <w:t>05/1995</w:t>
      </w:r>
      <w:r>
        <w:tab/>
        <w:t xml:space="preserve">Instructional I Certificate, </w:t>
      </w:r>
    </w:p>
    <w:p w14:paraId="50FF93CF" w14:textId="73F8EBE7" w:rsidR="007A7C03" w:rsidRDefault="007A7C03" w:rsidP="00AC2C80">
      <w:pPr>
        <w:pStyle w:val="NoSpacing"/>
        <w:tabs>
          <w:tab w:val="left" w:pos="2365"/>
          <w:tab w:val="left" w:pos="3625"/>
          <w:tab w:val="left" w:pos="5040"/>
        </w:tabs>
      </w:pPr>
      <w:r>
        <w:tab/>
      </w:r>
      <w:r>
        <w:tab/>
      </w:r>
      <w:r>
        <w:tab/>
      </w:r>
      <w:r>
        <w:tab/>
      </w:r>
      <w:r>
        <w:tab/>
        <w:t>Elementary Education</w:t>
      </w:r>
    </w:p>
    <w:p w14:paraId="5756F260" w14:textId="2F7EF854" w:rsidR="00AC2C80" w:rsidRDefault="001A5D54" w:rsidP="00AC2C80">
      <w:pPr>
        <w:pStyle w:val="NoSpacing"/>
        <w:tabs>
          <w:tab w:val="left" w:pos="2365"/>
          <w:tab w:val="left" w:pos="3625"/>
          <w:tab w:val="left" w:pos="5040"/>
        </w:tabs>
      </w:pPr>
      <w:r w:rsidRPr="0078757A">
        <w:t>Commonwealth of PA</w:t>
      </w:r>
      <w:r w:rsidRPr="0078757A">
        <w:tab/>
      </w:r>
      <w:r w:rsidR="00DB78B8" w:rsidRPr="0078757A">
        <w:tab/>
      </w:r>
      <w:r w:rsidR="00AB763D">
        <w:t>Certificate</w:t>
      </w:r>
      <w:r w:rsidR="00AB763D">
        <w:tab/>
        <w:t>06</w:t>
      </w:r>
      <w:r w:rsidRPr="0078757A">
        <w:t>/</w:t>
      </w:r>
      <w:r w:rsidR="00AB763D">
        <w:t>2001</w:t>
      </w:r>
      <w:r w:rsidRPr="0078757A">
        <w:tab/>
        <w:t xml:space="preserve">Instructional II Certificate, </w:t>
      </w:r>
      <w:r w:rsidR="00DB78B8" w:rsidRPr="0078757A">
        <w:tab/>
      </w:r>
      <w:r w:rsidR="00DB78B8" w:rsidRPr="0078757A">
        <w:tab/>
      </w:r>
      <w:r w:rsidR="00DB78B8" w:rsidRPr="0078757A">
        <w:tab/>
      </w:r>
      <w:r w:rsidR="00DB78B8" w:rsidRPr="0078757A">
        <w:tab/>
      </w:r>
      <w:r w:rsidR="00DB78B8" w:rsidRPr="0078757A">
        <w:tab/>
      </w:r>
      <w:r w:rsidR="00DB78B8" w:rsidRPr="0078757A">
        <w:tab/>
      </w:r>
      <w:r w:rsidR="00AB763D">
        <w:t>Elementary Education</w:t>
      </w:r>
    </w:p>
    <w:p w14:paraId="4C16BD80" w14:textId="77777777" w:rsidR="00430BD5" w:rsidRPr="00AC2C80" w:rsidRDefault="00430BD5" w:rsidP="00AC2C80">
      <w:pPr>
        <w:pStyle w:val="NoSpacing"/>
        <w:tabs>
          <w:tab w:val="left" w:pos="2365"/>
          <w:tab w:val="left" w:pos="3625"/>
          <w:tab w:val="left" w:pos="5040"/>
        </w:tabs>
      </w:pPr>
    </w:p>
    <w:p w14:paraId="18B77487" w14:textId="7426AEC3" w:rsidR="0078757A" w:rsidRPr="0078757A" w:rsidRDefault="000764F8" w:rsidP="0025393A">
      <w:pPr>
        <w:pStyle w:val="NoSpacing"/>
        <w:outlineLvl w:val="0"/>
        <w:rPr>
          <w:b/>
        </w:rPr>
      </w:pPr>
      <w:r w:rsidRPr="0078757A">
        <w:rPr>
          <w:b/>
        </w:rPr>
        <w:t>PROFESSIONAL EXPERIENCE</w:t>
      </w:r>
    </w:p>
    <w:p w14:paraId="72488584" w14:textId="03FF402D" w:rsidR="0046313E" w:rsidRPr="0078757A" w:rsidRDefault="0046313E" w:rsidP="0025393A">
      <w:pPr>
        <w:pStyle w:val="NoSpacing"/>
        <w:tabs>
          <w:tab w:val="left" w:pos="1375"/>
        </w:tabs>
        <w:rPr>
          <w:b/>
          <w:u w:val="single"/>
        </w:rPr>
      </w:pPr>
      <w:r w:rsidRPr="0078757A">
        <w:rPr>
          <w:b/>
          <w:u w:val="single"/>
        </w:rPr>
        <w:t>Dates</w:t>
      </w:r>
      <w:r w:rsidRPr="0078757A">
        <w:rPr>
          <w:b/>
          <w:u w:val="single"/>
        </w:rPr>
        <w:tab/>
      </w:r>
      <w:r w:rsidR="0078757A">
        <w:rPr>
          <w:b/>
          <w:u w:val="single"/>
        </w:rPr>
        <w:tab/>
      </w:r>
      <w:r w:rsidR="0078757A">
        <w:rPr>
          <w:b/>
          <w:u w:val="single"/>
        </w:rPr>
        <w:tab/>
      </w:r>
      <w:r w:rsidRPr="0078757A">
        <w:rPr>
          <w:b/>
          <w:u w:val="single"/>
        </w:rPr>
        <w:t>Position</w:t>
      </w:r>
    </w:p>
    <w:p w14:paraId="63371FE6" w14:textId="682782D1" w:rsidR="0046313E" w:rsidRPr="0078757A" w:rsidRDefault="008E2F5F" w:rsidP="0025393A">
      <w:pPr>
        <w:pStyle w:val="NoSpacing"/>
      </w:pPr>
      <w:r>
        <w:t>10/2013</w:t>
      </w:r>
      <w:r w:rsidR="0046313E" w:rsidRPr="0078757A">
        <w:t xml:space="preserve"> - Present</w:t>
      </w:r>
      <w:r w:rsidR="0046313E" w:rsidRPr="0078757A">
        <w:tab/>
      </w:r>
      <w:r>
        <w:t>Senior Instructor: Alternative Licensure – Math</w:t>
      </w:r>
      <w:r w:rsidR="002639AA">
        <w:t>ematics</w:t>
      </w:r>
      <w:r>
        <w:t xml:space="preserve"> Lead</w:t>
      </w:r>
    </w:p>
    <w:p w14:paraId="54CF99A3" w14:textId="77777777" w:rsidR="0046313E" w:rsidRPr="0078757A" w:rsidRDefault="0046313E" w:rsidP="002978B2">
      <w:pPr>
        <w:pStyle w:val="NoSpacing"/>
        <w:ind w:left="1440" w:firstLine="720"/>
      </w:pPr>
      <w:r w:rsidRPr="0078757A">
        <w:t>School of Education and Human Development</w:t>
      </w:r>
    </w:p>
    <w:p w14:paraId="3B45EF50" w14:textId="659C1F33" w:rsidR="0046313E" w:rsidRPr="0078757A" w:rsidRDefault="0046313E" w:rsidP="0025393A">
      <w:pPr>
        <w:pStyle w:val="NoSpacing"/>
        <w:tabs>
          <w:tab w:val="left" w:pos="1375"/>
        </w:tabs>
      </w:pPr>
      <w:r w:rsidRPr="0078757A">
        <w:tab/>
      </w:r>
      <w:r w:rsidRPr="0078757A">
        <w:tab/>
      </w:r>
      <w:r w:rsidRPr="0078757A">
        <w:tab/>
        <w:t>University of Colorado Denver</w:t>
      </w:r>
    </w:p>
    <w:p w14:paraId="708D4A63" w14:textId="77777777" w:rsidR="0078757A" w:rsidRPr="0078757A" w:rsidRDefault="0078757A" w:rsidP="0025393A">
      <w:pPr>
        <w:pStyle w:val="NoSpacing"/>
        <w:tabs>
          <w:tab w:val="left" w:pos="1375"/>
        </w:tabs>
      </w:pPr>
    </w:p>
    <w:p w14:paraId="2CCE183D" w14:textId="2AB3F9B2" w:rsidR="008E2F5F" w:rsidRPr="0078757A" w:rsidRDefault="00DB0DC3" w:rsidP="008E2F5F">
      <w:pPr>
        <w:pStyle w:val="NoSpacing"/>
      </w:pPr>
      <w:r>
        <w:t>0</w:t>
      </w:r>
      <w:r w:rsidR="008E2F5F">
        <w:t xml:space="preserve">8/2010 </w:t>
      </w:r>
      <w:r w:rsidR="002639AA">
        <w:t>-</w:t>
      </w:r>
      <w:r w:rsidR="008E2F5F">
        <w:t xml:space="preserve"> 10/2013</w:t>
      </w:r>
      <w:r w:rsidR="008E2F5F">
        <w:tab/>
        <w:t xml:space="preserve">Instructor and Research Assistant: </w:t>
      </w:r>
      <w:r w:rsidR="002639AA">
        <w:t>Mathematics</w:t>
      </w:r>
      <w:r w:rsidR="008E2F5F">
        <w:t xml:space="preserve"> Education</w:t>
      </w:r>
    </w:p>
    <w:p w14:paraId="7984AEBA" w14:textId="77777777" w:rsidR="008E2F5F" w:rsidRPr="0078757A" w:rsidRDefault="008E2F5F" w:rsidP="008E2F5F">
      <w:pPr>
        <w:pStyle w:val="NoSpacing"/>
        <w:ind w:left="1440" w:firstLine="720"/>
      </w:pPr>
      <w:r w:rsidRPr="0078757A">
        <w:t>School of Education and Human Development</w:t>
      </w:r>
    </w:p>
    <w:p w14:paraId="72301C37" w14:textId="77777777" w:rsidR="008E2F5F" w:rsidRPr="0078757A" w:rsidRDefault="008E2F5F" w:rsidP="008E2F5F">
      <w:pPr>
        <w:pStyle w:val="NoSpacing"/>
        <w:tabs>
          <w:tab w:val="left" w:pos="1375"/>
        </w:tabs>
      </w:pPr>
      <w:r w:rsidRPr="0078757A">
        <w:tab/>
      </w:r>
      <w:r w:rsidRPr="0078757A">
        <w:tab/>
      </w:r>
      <w:r w:rsidRPr="0078757A">
        <w:tab/>
        <w:t>University of Colorado Denver</w:t>
      </w:r>
    </w:p>
    <w:p w14:paraId="0C02CB71" w14:textId="606C10D1" w:rsidR="008E2F5F" w:rsidRDefault="008E2F5F" w:rsidP="0025393A">
      <w:pPr>
        <w:pStyle w:val="NoSpacing"/>
      </w:pPr>
    </w:p>
    <w:p w14:paraId="7A178C5E" w14:textId="557EFBF4" w:rsidR="002639AA" w:rsidRDefault="00DB0DC3" w:rsidP="0025393A">
      <w:pPr>
        <w:pStyle w:val="NoSpacing"/>
      </w:pPr>
      <w:r>
        <w:t>0</w:t>
      </w:r>
      <w:r w:rsidR="002639AA">
        <w:t>8/2007 – 6/2009</w:t>
      </w:r>
      <w:r w:rsidR="002639AA">
        <w:tab/>
        <w:t>Instructor and Research Assistant: Mathematics Education</w:t>
      </w:r>
    </w:p>
    <w:p w14:paraId="47F8B1AA" w14:textId="2CBBD681" w:rsidR="002639AA" w:rsidRDefault="002639AA" w:rsidP="0025393A">
      <w:pPr>
        <w:pStyle w:val="NoSpacing"/>
      </w:pPr>
      <w:r>
        <w:tab/>
      </w:r>
      <w:r>
        <w:tab/>
      </w:r>
      <w:r>
        <w:tab/>
        <w:t>Steinhardt School of Education and Human Development</w:t>
      </w:r>
    </w:p>
    <w:p w14:paraId="54ADDB1D" w14:textId="3333E66B" w:rsidR="002639AA" w:rsidRDefault="002639AA" w:rsidP="0025393A">
      <w:pPr>
        <w:pStyle w:val="NoSpacing"/>
      </w:pPr>
      <w:r>
        <w:tab/>
      </w:r>
      <w:r>
        <w:tab/>
      </w:r>
      <w:r>
        <w:tab/>
        <w:t>New York University</w:t>
      </w:r>
    </w:p>
    <w:p w14:paraId="3D20ED14" w14:textId="77777777" w:rsidR="002639AA" w:rsidRDefault="002639AA" w:rsidP="0025393A">
      <w:pPr>
        <w:pStyle w:val="NoSpacing"/>
      </w:pPr>
    </w:p>
    <w:p w14:paraId="04FA9586" w14:textId="47A3FC32" w:rsidR="0046313E" w:rsidRPr="0078757A" w:rsidRDefault="00DB0DC3" w:rsidP="0025393A">
      <w:pPr>
        <w:pStyle w:val="NoSpacing"/>
      </w:pPr>
      <w:r>
        <w:t>08/2004 - 06/2007</w:t>
      </w:r>
      <w:r w:rsidR="0046313E" w:rsidRPr="0078757A">
        <w:tab/>
        <w:t xml:space="preserve">Mid-Atlantic Center </w:t>
      </w:r>
      <w:r>
        <w:t xml:space="preserve">Mathematics Education </w:t>
      </w:r>
      <w:r w:rsidR="0046313E" w:rsidRPr="0078757A">
        <w:t>Graduate Research Fellow</w:t>
      </w:r>
    </w:p>
    <w:p w14:paraId="1C46F7C5" w14:textId="77777777" w:rsidR="0046313E" w:rsidRPr="0078757A" w:rsidRDefault="0046313E" w:rsidP="002978B2">
      <w:pPr>
        <w:pStyle w:val="NoSpacing"/>
        <w:ind w:left="1440" w:firstLine="720"/>
      </w:pPr>
      <w:r w:rsidRPr="0078757A">
        <w:t>College of Education</w:t>
      </w:r>
    </w:p>
    <w:p w14:paraId="699BFBFB" w14:textId="4CE53B12" w:rsidR="0046313E" w:rsidRPr="0078757A" w:rsidRDefault="0046313E" w:rsidP="0025393A">
      <w:pPr>
        <w:pStyle w:val="NoSpacing"/>
        <w:tabs>
          <w:tab w:val="left" w:pos="1375"/>
        </w:tabs>
      </w:pPr>
      <w:r w:rsidRPr="0078757A">
        <w:tab/>
      </w:r>
      <w:r w:rsidRPr="0078757A">
        <w:tab/>
      </w:r>
      <w:r w:rsidRPr="0078757A">
        <w:tab/>
        <w:t>The Pennsylvania State University</w:t>
      </w:r>
    </w:p>
    <w:p w14:paraId="083ECC55" w14:textId="77777777" w:rsidR="0078757A" w:rsidRPr="0078757A" w:rsidRDefault="0078757A" w:rsidP="0025393A">
      <w:pPr>
        <w:pStyle w:val="NoSpacing"/>
        <w:tabs>
          <w:tab w:val="left" w:pos="1375"/>
        </w:tabs>
      </w:pPr>
    </w:p>
    <w:p w14:paraId="66A0BCB3" w14:textId="3A355724" w:rsidR="00DB0DC3" w:rsidRDefault="00DB0DC3" w:rsidP="0025393A">
      <w:pPr>
        <w:pStyle w:val="NoSpacing"/>
      </w:pPr>
      <w:r>
        <w:t>08/2003 - 08/2004</w:t>
      </w:r>
      <w:r>
        <w:tab/>
        <w:t>Graduate Assistant: Curriculum &amp; Instruction Mathematics Education</w:t>
      </w:r>
    </w:p>
    <w:p w14:paraId="51918D8C" w14:textId="4F4ACA65" w:rsidR="00DB0DC3" w:rsidRDefault="00DB0DC3" w:rsidP="0025393A">
      <w:pPr>
        <w:pStyle w:val="NoSpacing"/>
      </w:pPr>
      <w:r>
        <w:tab/>
      </w:r>
      <w:r>
        <w:tab/>
      </w:r>
      <w:r>
        <w:tab/>
        <w:t>College of Education</w:t>
      </w:r>
    </w:p>
    <w:p w14:paraId="2DC08F6B" w14:textId="016A77ED" w:rsidR="00DB0DC3" w:rsidRDefault="00DB0DC3" w:rsidP="0025393A">
      <w:pPr>
        <w:pStyle w:val="NoSpacing"/>
      </w:pPr>
      <w:r>
        <w:tab/>
      </w:r>
      <w:r>
        <w:tab/>
      </w:r>
      <w:r>
        <w:tab/>
      </w:r>
      <w:r w:rsidRPr="0078757A">
        <w:t>The Pennsylvania State University</w:t>
      </w:r>
    </w:p>
    <w:p w14:paraId="6C876C21" w14:textId="77777777" w:rsidR="00DB0DC3" w:rsidRDefault="00DB0DC3" w:rsidP="0025393A">
      <w:pPr>
        <w:pStyle w:val="NoSpacing"/>
      </w:pPr>
    </w:p>
    <w:p w14:paraId="224C0E33" w14:textId="614ECA1D" w:rsidR="00DB0DC3" w:rsidRDefault="00DB0DC3" w:rsidP="0025393A">
      <w:pPr>
        <w:pStyle w:val="NoSpacing"/>
      </w:pPr>
      <w:r>
        <w:t>09/2001 - 08/2003</w:t>
      </w:r>
      <w:r>
        <w:tab/>
        <w:t>University Relations Officer</w:t>
      </w:r>
    </w:p>
    <w:p w14:paraId="5011BB18" w14:textId="5C7DEB8C" w:rsidR="00DB0DC3" w:rsidRDefault="00DB0DC3" w:rsidP="0025393A">
      <w:pPr>
        <w:pStyle w:val="NoSpacing"/>
      </w:pPr>
      <w:r>
        <w:tab/>
      </w:r>
      <w:r>
        <w:tab/>
      </w:r>
      <w:r>
        <w:tab/>
        <w:t>Bucknell University</w:t>
      </w:r>
    </w:p>
    <w:p w14:paraId="3F740BAC" w14:textId="77777777" w:rsidR="00DB0DC3" w:rsidRDefault="00DB0DC3" w:rsidP="0025393A">
      <w:pPr>
        <w:pStyle w:val="NoSpacing"/>
      </w:pPr>
    </w:p>
    <w:p w14:paraId="201ECDF6" w14:textId="37D3001D" w:rsidR="0046313E" w:rsidRPr="0078757A" w:rsidRDefault="00DB0DC3" w:rsidP="0025393A">
      <w:pPr>
        <w:pStyle w:val="NoSpacing"/>
      </w:pPr>
      <w:r>
        <w:t>08/1995 - 08/2001</w:t>
      </w:r>
      <w:r w:rsidR="0046313E" w:rsidRPr="0078757A">
        <w:tab/>
      </w:r>
      <w:r>
        <w:t>Elementary Classroom</w:t>
      </w:r>
      <w:r w:rsidR="0046313E" w:rsidRPr="0078757A">
        <w:t xml:space="preserve"> Teacher</w:t>
      </w:r>
    </w:p>
    <w:p w14:paraId="58D020EB" w14:textId="76EE15C7" w:rsidR="0046313E" w:rsidRPr="0078757A" w:rsidRDefault="00DB0DC3" w:rsidP="002978B2">
      <w:pPr>
        <w:pStyle w:val="NoSpacing"/>
        <w:ind w:left="1440" w:firstLine="720"/>
      </w:pPr>
      <w:r>
        <w:t>Ferguson Township Elementary, State College Area School District</w:t>
      </w:r>
    </w:p>
    <w:p w14:paraId="438BCD4F" w14:textId="22CE88FA" w:rsidR="0046313E" w:rsidRPr="00D13B91" w:rsidRDefault="0046313E" w:rsidP="0025393A">
      <w:pPr>
        <w:pStyle w:val="NoSpacing"/>
        <w:tabs>
          <w:tab w:val="left" w:pos="1375"/>
        </w:tabs>
      </w:pPr>
      <w:r w:rsidRPr="0078757A">
        <w:tab/>
      </w:r>
      <w:r w:rsidRPr="0078757A">
        <w:tab/>
      </w:r>
      <w:r w:rsidRPr="0078757A">
        <w:tab/>
      </w:r>
      <w:r w:rsidR="00DB0DC3">
        <w:t>State College</w:t>
      </w:r>
      <w:r w:rsidRPr="0078757A">
        <w:t>, PA</w:t>
      </w:r>
    </w:p>
    <w:p w14:paraId="7E1C52E4" w14:textId="77777777" w:rsidR="00EB25B3" w:rsidRDefault="00EB25B3" w:rsidP="0025393A">
      <w:pPr>
        <w:pStyle w:val="NoSpacing"/>
        <w:rPr>
          <w:highlight w:val="yellow"/>
        </w:rPr>
      </w:pPr>
    </w:p>
    <w:p w14:paraId="4A3B6A6A" w14:textId="18C0CBBE" w:rsidR="00493122" w:rsidRDefault="00636A24" w:rsidP="00493122">
      <w:pPr>
        <w:pStyle w:val="NoSpacing"/>
        <w:contextualSpacing/>
        <w:rPr>
          <w:b/>
        </w:rPr>
      </w:pPr>
      <w:r>
        <w:rPr>
          <w:b/>
        </w:rPr>
        <w:t>SELECTED PUBLICATIONS</w:t>
      </w:r>
    </w:p>
    <w:p w14:paraId="1D7FCFAA" w14:textId="23F6EEE5" w:rsidR="00171112" w:rsidRDefault="00636A24" w:rsidP="00171112">
      <w:pPr>
        <w:rPr>
          <w:i/>
        </w:rPr>
      </w:pPr>
      <w:r>
        <w:rPr>
          <w:i/>
        </w:rPr>
        <w:t xml:space="preserve">REFEREED </w:t>
      </w:r>
      <w:r w:rsidR="00621FB1">
        <w:rPr>
          <w:i/>
        </w:rPr>
        <w:t>JOURNAL ARTICLES</w:t>
      </w:r>
    </w:p>
    <w:p w14:paraId="5DCF31D9" w14:textId="39A728EF" w:rsidR="00755B5D" w:rsidRDefault="002A0105" w:rsidP="00755B5D">
      <w:pPr>
        <w:ind w:left="2160" w:hanging="2160"/>
      </w:pPr>
      <w:r>
        <w:t>2019</w:t>
      </w:r>
      <w:r w:rsidR="00011414">
        <w:tab/>
      </w:r>
      <w:r w:rsidR="00755B5D">
        <w:t xml:space="preserve">Johnson, H. L., Dunlap, J. C., Verma, G., </w:t>
      </w:r>
      <w:r w:rsidR="00755B5D" w:rsidRPr="00C64EF9">
        <w:rPr>
          <w:b/>
        </w:rPr>
        <w:t>McClintock, E.</w:t>
      </w:r>
      <w:r w:rsidR="00755B5D">
        <w:t xml:space="preserve">, DeBay, D. J., </w:t>
      </w:r>
      <w:r w:rsidR="00B3188D">
        <w:t xml:space="preserve">&amp; </w:t>
      </w:r>
      <w:r w:rsidR="00755B5D">
        <w:t>Bourdeaux</w:t>
      </w:r>
      <w:r>
        <w:t>, B. (2019</w:t>
      </w:r>
      <w:r w:rsidR="00755B5D">
        <w:t xml:space="preserve">). Video-based teaching playgrounds: Designing online learning opportunities to foster professional noticing of teaching practices. </w:t>
      </w:r>
      <w:r w:rsidR="00755B5D" w:rsidRPr="00755B5D">
        <w:rPr>
          <w:i/>
        </w:rPr>
        <w:t>Techtrends</w:t>
      </w:r>
      <w:r w:rsidR="00C64EF9">
        <w:rPr>
          <w:i/>
        </w:rPr>
        <w:t>,</w:t>
      </w:r>
      <w:r>
        <w:rPr>
          <w:i/>
        </w:rPr>
        <w:t xml:space="preserve"> 63, </w:t>
      </w:r>
      <w:r>
        <w:t>160-169</w:t>
      </w:r>
      <w:r w:rsidR="00755B5D">
        <w:t xml:space="preserve">. </w:t>
      </w:r>
      <w:r w:rsidR="00755B5D" w:rsidRPr="00755B5D">
        <w:rPr>
          <w:rFonts w:ascii="Helvetica Neue" w:eastAsia="Times New Roman" w:hAnsi="Helvetica Neue" w:cs="Times New Roman"/>
          <w:color w:val="444444"/>
          <w:sz w:val="21"/>
          <w:szCs w:val="21"/>
          <w:shd w:val="clear" w:color="auto" w:fill="FFFFFF"/>
        </w:rPr>
        <w:t>https://link.springer.com/article/10.1007/s11528-018-0286-5</w:t>
      </w:r>
    </w:p>
    <w:p w14:paraId="4FE8D4EF" w14:textId="0094A7D8" w:rsidR="002A0105" w:rsidRDefault="002A0105" w:rsidP="002A0105">
      <w:pPr>
        <w:pStyle w:val="NoSpacing"/>
      </w:pPr>
      <w:r>
        <w:t>2018</w:t>
      </w:r>
      <w:r>
        <w:tab/>
      </w:r>
      <w:r>
        <w:tab/>
      </w:r>
      <w:r>
        <w:tab/>
        <w:t xml:space="preserve">Johnson, H. L. &amp; </w:t>
      </w:r>
      <w:r w:rsidRPr="000D4B96">
        <w:rPr>
          <w:b/>
        </w:rPr>
        <w:t>McClintock, E.</w:t>
      </w:r>
      <w:r>
        <w:t xml:space="preserve"> (2018). A link between students’ discernment of </w:t>
      </w:r>
    </w:p>
    <w:p w14:paraId="2CFBB8AF" w14:textId="73770FD4" w:rsidR="002A0105" w:rsidRPr="00487EB5" w:rsidRDefault="002A0105" w:rsidP="002A0105">
      <w:pPr>
        <w:pStyle w:val="NoSpacing"/>
        <w:ind w:left="2160"/>
        <w:rPr>
          <w:rFonts w:eastAsia="Times New Roman" w:cs="Times New Roman"/>
          <w:color w:val="333333"/>
          <w:spacing w:val="4"/>
          <w:shd w:val="clear" w:color="auto" w:fill="FCFCFC"/>
        </w:rPr>
      </w:pPr>
      <w:r>
        <w:t xml:space="preserve">variation in unidirectional change and their use of quantitative variational reasoning. </w:t>
      </w:r>
      <w:r w:rsidRPr="000D4B96">
        <w:rPr>
          <w:i/>
        </w:rPr>
        <w:t>Educational Studies in Mathematics</w:t>
      </w:r>
      <w:r w:rsidR="00C64EF9">
        <w:rPr>
          <w:i/>
        </w:rPr>
        <w:t xml:space="preserve">, 97, </w:t>
      </w:r>
      <w:r w:rsidR="00C64EF9">
        <w:t>299-316</w:t>
      </w:r>
      <w:r>
        <w:rPr>
          <w:i/>
        </w:rPr>
        <w:t xml:space="preserve">. </w:t>
      </w:r>
      <w:r w:rsidRPr="00487EB5">
        <w:rPr>
          <w:rFonts w:eastAsia="Times New Roman" w:cs="Times New Roman"/>
          <w:color w:val="333333"/>
          <w:spacing w:val="4"/>
          <w:shd w:val="clear" w:color="auto" w:fill="FCFCFC"/>
        </w:rPr>
        <w:t>doi.org/10.1007/s10649-017-9799-7</w:t>
      </w:r>
    </w:p>
    <w:p w14:paraId="75A66DD2" w14:textId="77777777" w:rsidR="00487EB5" w:rsidRPr="00487EB5" w:rsidRDefault="00487EB5" w:rsidP="002A0105">
      <w:pPr>
        <w:pStyle w:val="NoSpacing"/>
        <w:rPr>
          <w:i/>
        </w:rPr>
      </w:pPr>
    </w:p>
    <w:p w14:paraId="1AC200D9" w14:textId="5581852C" w:rsidR="008C7122" w:rsidRDefault="00245229" w:rsidP="008C7122">
      <w:pPr>
        <w:ind w:left="2160" w:hanging="2160"/>
      </w:pPr>
      <w:r>
        <w:t>2017</w:t>
      </w:r>
      <w:r>
        <w:tab/>
        <w:t xml:space="preserve">Johnson, H. L., </w:t>
      </w:r>
      <w:r w:rsidRPr="00BC30C8">
        <w:rPr>
          <w:b/>
        </w:rPr>
        <w:t>McClintock, E.</w:t>
      </w:r>
      <w:r>
        <w:t>, &amp; Hornbein, P. (</w:t>
      </w:r>
      <w:r w:rsidR="00470A01">
        <w:t>2017</w:t>
      </w:r>
      <w:r>
        <w:t xml:space="preserve">). Ferris wheels and filling bottles: A case of a student’s transfer of covariational reasoning across tasks with different backgrounds and features. </w:t>
      </w:r>
      <w:r w:rsidRPr="00E717C2">
        <w:rPr>
          <w:i/>
        </w:rPr>
        <w:t>ZDM</w:t>
      </w:r>
      <w:r w:rsidR="00487EB5">
        <w:rPr>
          <w:i/>
        </w:rPr>
        <w:t>: The International Journal on Mathematics Education</w:t>
      </w:r>
      <w:r w:rsidR="00011414">
        <w:rPr>
          <w:i/>
        </w:rPr>
        <w:t>,</w:t>
      </w:r>
      <w:r w:rsidR="00301F60">
        <w:rPr>
          <w:i/>
        </w:rPr>
        <w:t xml:space="preserve"> </w:t>
      </w:r>
      <w:r w:rsidR="00011414">
        <w:rPr>
          <w:i/>
        </w:rPr>
        <w:t>49</w:t>
      </w:r>
      <w:r w:rsidR="00011414">
        <w:t>(6), 851-864.</w:t>
      </w:r>
      <w:r w:rsidR="003C68FE">
        <w:tab/>
      </w:r>
      <w:r w:rsidR="00487EB5">
        <w:t xml:space="preserve"> </w:t>
      </w:r>
      <w:r w:rsidR="008C7122" w:rsidRPr="008C7122">
        <w:rPr>
          <w:rFonts w:ascii="Helvetica" w:eastAsia="Times New Roman" w:hAnsi="Helvetica" w:cs="Times New Roman"/>
          <w:color w:val="333333"/>
          <w:spacing w:val="4"/>
          <w:sz w:val="21"/>
          <w:szCs w:val="21"/>
          <w:shd w:val="clear" w:color="auto" w:fill="FCFCFC"/>
        </w:rPr>
        <w:t>doi.org/10.1007/s11858-017-0866-4</w:t>
      </w:r>
    </w:p>
    <w:p w14:paraId="1525A8AA" w14:textId="6EE501EB" w:rsidR="00171112" w:rsidRDefault="00171112" w:rsidP="00171112">
      <w:pPr>
        <w:pStyle w:val="NoSpacing"/>
        <w:ind w:left="2160" w:hanging="2160"/>
        <w:rPr>
          <w:rFonts w:cs="Times New Roman"/>
          <w:bCs/>
        </w:rPr>
      </w:pPr>
      <w:r w:rsidRPr="00D13B91">
        <w:t>201</w:t>
      </w:r>
      <w:r>
        <w:t>3</w:t>
      </w:r>
      <w:r>
        <w:tab/>
      </w:r>
      <w:r w:rsidRPr="00171112">
        <w:t xml:space="preserve">Tzur, R., Johnson, H. L., </w:t>
      </w:r>
      <w:r w:rsidRPr="00171112">
        <w:rPr>
          <w:b/>
        </w:rPr>
        <w:t>McClintock, E.</w:t>
      </w:r>
      <w:r w:rsidRPr="00171112">
        <w:t xml:space="preserve">, Xin, Y. P., Si, L., Woodward, J., Hord, C., &amp; Jin, X. (2013). Distinguishing schemes and tasks in children's development of multiplicative reasoning. </w:t>
      </w:r>
      <w:r w:rsidRPr="00171112">
        <w:rPr>
          <w:i/>
          <w:iCs/>
        </w:rPr>
        <w:t xml:space="preserve">PNA, </w:t>
      </w:r>
      <w:r w:rsidRPr="00171112">
        <w:rPr>
          <w:rFonts w:cs="Times New Roman"/>
          <w:bCs/>
          <w:i/>
        </w:rPr>
        <w:t>7</w:t>
      </w:r>
      <w:r w:rsidRPr="00171112">
        <w:rPr>
          <w:rFonts w:cs="Times New Roman"/>
          <w:bCs/>
        </w:rPr>
        <w:t>(3), 85-101.</w:t>
      </w:r>
    </w:p>
    <w:p w14:paraId="628794CC" w14:textId="77777777" w:rsidR="00171112" w:rsidRPr="00171112" w:rsidRDefault="00171112" w:rsidP="00171112">
      <w:pPr>
        <w:pStyle w:val="NoSpacing"/>
        <w:ind w:left="2160" w:hanging="2160"/>
      </w:pPr>
    </w:p>
    <w:p w14:paraId="42FCEE27" w14:textId="4446E5A7" w:rsidR="00171112" w:rsidRPr="00B21305" w:rsidRDefault="00171112" w:rsidP="00171112">
      <w:pPr>
        <w:spacing w:after="0" w:line="240" w:lineRule="auto"/>
        <w:ind w:left="2160" w:hanging="2160"/>
        <w:rPr>
          <w:i/>
        </w:rPr>
      </w:pPr>
      <w:r w:rsidRPr="00171112">
        <w:t>2010</w:t>
      </w:r>
      <w:r>
        <w:tab/>
      </w:r>
      <w:r w:rsidRPr="00B21305">
        <w:t xml:space="preserve">Simon, M. A., Saldanha, L., </w:t>
      </w:r>
      <w:r w:rsidRPr="00171112">
        <w:rPr>
          <w:b/>
        </w:rPr>
        <w:t>McClintock, E.</w:t>
      </w:r>
      <w:r w:rsidRPr="00171112">
        <w:t xml:space="preserve">, </w:t>
      </w:r>
      <w:r w:rsidRPr="00B21305">
        <w:t xml:space="preserve">Akar, G. K., Watanabe, T., &amp; Zembat, I. O. (2010). A developing approach to studying mathematical conceptual learning: Focusing on students’ learning through their mathematical activity. </w:t>
      </w:r>
      <w:r w:rsidRPr="00B21305">
        <w:rPr>
          <w:i/>
        </w:rPr>
        <w:t>Cognition and Instruction 28</w:t>
      </w:r>
      <w:r w:rsidRPr="00B21305">
        <w:t>(1), pp. 70-112.</w:t>
      </w:r>
    </w:p>
    <w:p w14:paraId="42D1D6B2" w14:textId="33B223BB" w:rsidR="00171112" w:rsidRPr="00171112" w:rsidRDefault="00171112" w:rsidP="00171112">
      <w:pPr>
        <w:rPr>
          <w:rFonts w:ascii="Times" w:eastAsia="Times New Roman" w:hAnsi="Times" w:cs="Times New Roman"/>
          <w:sz w:val="20"/>
          <w:szCs w:val="20"/>
        </w:rPr>
      </w:pPr>
    </w:p>
    <w:p w14:paraId="07624423" w14:textId="3372587B" w:rsidR="006E6152" w:rsidRDefault="00636A24" w:rsidP="00171112">
      <w:pPr>
        <w:pStyle w:val="NoSpacing"/>
        <w:outlineLvl w:val="0"/>
        <w:rPr>
          <w:i/>
        </w:rPr>
      </w:pPr>
      <w:r>
        <w:rPr>
          <w:i/>
        </w:rPr>
        <w:t xml:space="preserve">REFEREED </w:t>
      </w:r>
      <w:r w:rsidR="006E6152" w:rsidRPr="00D46A3C">
        <w:rPr>
          <w:i/>
        </w:rPr>
        <w:t>CONFERENCE PROCEEDINGS</w:t>
      </w:r>
      <w:r w:rsidR="006E6152" w:rsidRPr="00D46A3C">
        <w:rPr>
          <w:i/>
        </w:rPr>
        <w:tab/>
      </w:r>
    </w:p>
    <w:p w14:paraId="5EEA4294" w14:textId="77777777" w:rsidR="00A950D1" w:rsidRPr="0038102C" w:rsidRDefault="00A950D1" w:rsidP="00636A24">
      <w:pPr>
        <w:widowControl w:val="0"/>
        <w:autoSpaceDE w:val="0"/>
        <w:autoSpaceDN w:val="0"/>
        <w:adjustRightInd w:val="0"/>
        <w:spacing w:after="0" w:line="240" w:lineRule="auto"/>
      </w:pPr>
    </w:p>
    <w:p w14:paraId="74495A45" w14:textId="25711DA3" w:rsidR="00755B5D" w:rsidRDefault="00755B5D" w:rsidP="0004465A">
      <w:pPr>
        <w:widowControl w:val="0"/>
        <w:autoSpaceDE w:val="0"/>
        <w:autoSpaceDN w:val="0"/>
        <w:adjustRightInd w:val="0"/>
        <w:spacing w:after="0" w:line="240" w:lineRule="auto"/>
        <w:ind w:left="2160" w:hanging="2160"/>
      </w:pPr>
      <w:r>
        <w:t>2018</w:t>
      </w:r>
      <w:r w:rsidR="00487EB5">
        <w:tab/>
      </w:r>
      <w:r>
        <w:t xml:space="preserve">Johnson, H. L., </w:t>
      </w:r>
      <w:r w:rsidRPr="005E3C55">
        <w:rPr>
          <w:b/>
        </w:rPr>
        <w:t>McClintock, E.</w:t>
      </w:r>
      <w:r>
        <w:t xml:space="preserve">, Gardner, A. (2018). Promoting secondary students’ shifts to covariational reasoning: Networking theories and task design. </w:t>
      </w:r>
    </w:p>
    <w:p w14:paraId="64C03970" w14:textId="00E4A7B3" w:rsidR="008907B9" w:rsidRDefault="008907B9" w:rsidP="0004465A">
      <w:pPr>
        <w:widowControl w:val="0"/>
        <w:autoSpaceDE w:val="0"/>
        <w:autoSpaceDN w:val="0"/>
        <w:adjustRightInd w:val="0"/>
        <w:spacing w:after="0" w:line="240" w:lineRule="auto"/>
        <w:ind w:left="2160" w:hanging="2160"/>
      </w:pPr>
      <w:r>
        <w:tab/>
      </w:r>
      <w:r w:rsidRPr="008907B9">
        <w:rPr>
          <w:i/>
        </w:rPr>
        <w:t>To appear in the Proceedings of the 42nd Annual Conference of the International Group for the Psychology of Mathematics Education</w:t>
      </w:r>
      <w:r>
        <w:t>. Umeå, Sweden: PME.</w:t>
      </w:r>
    </w:p>
    <w:p w14:paraId="0579C2C0" w14:textId="77777777" w:rsidR="00755B5D" w:rsidRDefault="00755B5D" w:rsidP="0004465A">
      <w:pPr>
        <w:widowControl w:val="0"/>
        <w:autoSpaceDE w:val="0"/>
        <w:autoSpaceDN w:val="0"/>
        <w:adjustRightInd w:val="0"/>
        <w:spacing w:after="0" w:line="240" w:lineRule="auto"/>
        <w:ind w:left="2160" w:hanging="2160"/>
      </w:pPr>
    </w:p>
    <w:p w14:paraId="0E85A9C8" w14:textId="3D190FA3" w:rsidR="00487EB5" w:rsidRDefault="00487EB5" w:rsidP="00755B5D">
      <w:pPr>
        <w:widowControl w:val="0"/>
        <w:autoSpaceDE w:val="0"/>
        <w:autoSpaceDN w:val="0"/>
        <w:adjustRightInd w:val="0"/>
        <w:spacing w:after="0" w:line="240" w:lineRule="auto"/>
        <w:ind w:left="2160"/>
      </w:pPr>
      <w:r w:rsidRPr="00755B5D">
        <w:t>Johnson, H. L.,</w:t>
      </w:r>
      <w:r w:rsidRPr="000C3076">
        <w:t xml:space="preserve"> </w:t>
      </w:r>
      <w:r w:rsidRPr="00755B5D">
        <w:rPr>
          <w:b/>
        </w:rPr>
        <w:t>McClintock, E.</w:t>
      </w:r>
      <w:r w:rsidRPr="000C3076">
        <w:t>, Kalir, R., &amp; Olson, G. (</w:t>
      </w:r>
      <w:r w:rsidR="00755B5D">
        <w:t>2018</w:t>
      </w:r>
      <w:r w:rsidRPr="000C3076">
        <w:t>)</w:t>
      </w:r>
      <w:r>
        <w:t>.</w:t>
      </w:r>
      <w:r w:rsidRPr="000C3076">
        <w:t xml:space="preserve"> Networking theories to design dynamic covariation techtivities for college algebra students. </w:t>
      </w:r>
      <w:r>
        <w:rPr>
          <w:i/>
          <w:iCs/>
        </w:rPr>
        <w:t>To appear in the P</w:t>
      </w:r>
      <w:r w:rsidRPr="000C3076">
        <w:rPr>
          <w:i/>
          <w:iCs/>
        </w:rPr>
        <w:t>roceedings of the 21st Meeting of the MAA Special Interest Group on Research in Undergraduate Mathematics Education</w:t>
      </w:r>
      <w:r w:rsidRPr="000C3076">
        <w:t>. San Diego, CA: RUME</w:t>
      </w:r>
      <w:r>
        <w:t>.</w:t>
      </w:r>
    </w:p>
    <w:p w14:paraId="38CF201E" w14:textId="77777777" w:rsidR="00487EB5" w:rsidRDefault="00487EB5" w:rsidP="0004465A">
      <w:pPr>
        <w:widowControl w:val="0"/>
        <w:autoSpaceDE w:val="0"/>
        <w:autoSpaceDN w:val="0"/>
        <w:adjustRightInd w:val="0"/>
        <w:spacing w:after="0" w:line="240" w:lineRule="auto"/>
        <w:ind w:left="2160" w:hanging="2160"/>
      </w:pPr>
    </w:p>
    <w:p w14:paraId="50464109" w14:textId="4E7A3243" w:rsidR="006A7E41" w:rsidRDefault="00245229" w:rsidP="001F0548">
      <w:pPr>
        <w:widowControl w:val="0"/>
        <w:autoSpaceDE w:val="0"/>
        <w:autoSpaceDN w:val="0"/>
        <w:adjustRightInd w:val="0"/>
        <w:spacing w:after="0" w:line="240" w:lineRule="auto"/>
        <w:ind w:left="2160" w:hanging="2160"/>
        <w:rPr>
          <w:rFonts w:cs="Helvetica"/>
          <w:iCs/>
        </w:rPr>
      </w:pPr>
      <w:r>
        <w:t>2017</w:t>
      </w:r>
      <w:r w:rsidR="006A7E41">
        <w:tab/>
      </w:r>
      <w:r w:rsidR="006A7E41" w:rsidRPr="006A7E41">
        <w:rPr>
          <w:rFonts w:cs="Helvetica"/>
        </w:rPr>
        <w:t xml:space="preserve">Johnson, H. L., </w:t>
      </w:r>
      <w:r w:rsidR="006A7E41" w:rsidRPr="006A7E41">
        <w:rPr>
          <w:rFonts w:cs="Helvetica"/>
          <w:b/>
        </w:rPr>
        <w:t>McClintock, E</w:t>
      </w:r>
      <w:r w:rsidR="006A7E41" w:rsidRPr="006A7E41">
        <w:rPr>
          <w:rFonts w:cs="Helvetica"/>
        </w:rPr>
        <w:t>., Hornbein, P., Gardner, A., &amp; Grieser, D. (</w:t>
      </w:r>
      <w:r>
        <w:rPr>
          <w:rFonts w:cs="Helvetica"/>
        </w:rPr>
        <w:t>2017</w:t>
      </w:r>
      <w:r w:rsidR="006A7E41" w:rsidRPr="006A7E41">
        <w:rPr>
          <w:rFonts w:cs="Helvetica"/>
        </w:rPr>
        <w:t xml:space="preserve">). When a critical aspect is a conception: Using multiple theories to design dynamic computer environments and tasks to foster students’ discernment of covariation. </w:t>
      </w:r>
      <w:r w:rsidR="006A7E41" w:rsidRPr="006A7E41">
        <w:rPr>
          <w:rFonts w:cs="Helvetica"/>
          <w:i/>
          <w:iCs/>
        </w:rPr>
        <w:t>10</w:t>
      </w:r>
      <w:r w:rsidR="006A7E41" w:rsidRPr="006A7E41">
        <w:rPr>
          <w:rFonts w:cs="Helvetica"/>
          <w:i/>
          <w:iCs/>
          <w:vertAlign w:val="superscript"/>
        </w:rPr>
        <w:t>th</w:t>
      </w:r>
      <w:r w:rsidR="006A7E41" w:rsidRPr="006A7E41">
        <w:rPr>
          <w:rFonts w:cs="Helvetica"/>
          <w:i/>
          <w:iCs/>
        </w:rPr>
        <w:t xml:space="preserve"> Congress of European Research in Mathematics Education, Dublin, Ireland</w:t>
      </w:r>
      <w:r w:rsidR="00487EB5">
        <w:rPr>
          <w:rFonts w:cs="Helvetica"/>
          <w:iCs/>
        </w:rPr>
        <w:t>: DCU Institute of Education and ERME.</w:t>
      </w:r>
    </w:p>
    <w:p w14:paraId="261E5255" w14:textId="77777777" w:rsidR="00755B5D" w:rsidRPr="001F0548" w:rsidRDefault="00755B5D" w:rsidP="001F0548">
      <w:pPr>
        <w:widowControl w:val="0"/>
        <w:autoSpaceDE w:val="0"/>
        <w:autoSpaceDN w:val="0"/>
        <w:adjustRightInd w:val="0"/>
        <w:spacing w:after="0" w:line="240" w:lineRule="auto"/>
        <w:ind w:left="2160" w:hanging="2160"/>
        <w:rPr>
          <w:rFonts w:cs="Helvetica"/>
          <w:iCs/>
        </w:rPr>
      </w:pPr>
    </w:p>
    <w:p w14:paraId="68FB36B0" w14:textId="0550BBFA" w:rsidR="00DF19BB" w:rsidRDefault="00DF19BB" w:rsidP="0004465A">
      <w:pPr>
        <w:widowControl w:val="0"/>
        <w:autoSpaceDE w:val="0"/>
        <w:autoSpaceDN w:val="0"/>
        <w:adjustRightInd w:val="0"/>
        <w:spacing w:after="0" w:line="240" w:lineRule="auto"/>
        <w:ind w:left="2160" w:hanging="2160"/>
        <w:rPr>
          <w:rFonts w:cs="Comic Sans MS"/>
        </w:rPr>
      </w:pPr>
      <w:r>
        <w:t>2015</w:t>
      </w:r>
      <w:r>
        <w:tab/>
      </w:r>
      <w:r w:rsidRPr="00DF19BB">
        <w:rPr>
          <w:rFonts w:cs="Comic Sans MS"/>
        </w:rPr>
        <w:t>Verma, G., Jo</w:t>
      </w:r>
      <w:r>
        <w:rPr>
          <w:rFonts w:cs="Comic Sans MS"/>
        </w:rPr>
        <w:t xml:space="preserve">hnson, H., Dunlap, J., &amp; </w:t>
      </w:r>
      <w:r w:rsidRPr="00575867">
        <w:rPr>
          <w:rFonts w:cs="Comic Sans MS"/>
          <w:b/>
        </w:rPr>
        <w:t>McClintock, E.</w:t>
      </w:r>
      <w:r w:rsidRPr="00DF19BB">
        <w:rPr>
          <w:rFonts w:cs="Comic Sans MS"/>
        </w:rPr>
        <w:t xml:space="preserve"> (2015). Fully online methods courses? Reconceptualizing STEM teacher preparation through spaces of learning.  In Chandresekharan, S., Murthy, S., Banerjee, G., Muralidhar, A. (Eds.). Proceedings of epiSTEME 6—Emerging Computational Media and Science Education (pp. 372-380), Cinnamon Teal Publishing, Mumbai, India.</w:t>
      </w:r>
    </w:p>
    <w:p w14:paraId="446DEE90" w14:textId="77777777" w:rsidR="00DF19BB" w:rsidRDefault="00DF19BB" w:rsidP="0004465A">
      <w:pPr>
        <w:widowControl w:val="0"/>
        <w:autoSpaceDE w:val="0"/>
        <w:autoSpaceDN w:val="0"/>
        <w:adjustRightInd w:val="0"/>
        <w:spacing w:after="0" w:line="240" w:lineRule="auto"/>
        <w:ind w:left="2160" w:hanging="2160"/>
      </w:pPr>
    </w:p>
    <w:p w14:paraId="0C600520" w14:textId="5A23949A" w:rsidR="006E6152" w:rsidRPr="0004465A" w:rsidRDefault="006E6152" w:rsidP="0004465A">
      <w:pPr>
        <w:widowControl w:val="0"/>
        <w:autoSpaceDE w:val="0"/>
        <w:autoSpaceDN w:val="0"/>
        <w:adjustRightInd w:val="0"/>
        <w:spacing w:after="0" w:line="240" w:lineRule="auto"/>
        <w:ind w:left="2160" w:hanging="2160"/>
        <w:rPr>
          <w:rFonts w:cs="Times New Roman"/>
        </w:rPr>
      </w:pPr>
      <w:r>
        <w:t>2014</w:t>
      </w:r>
      <w:r w:rsidRPr="0048422D">
        <w:tab/>
      </w:r>
      <w:r w:rsidR="00171112">
        <w:rPr>
          <w:rFonts w:cs="Helvetica"/>
        </w:rPr>
        <w:t>Hodkowski, N., Tzur, R</w:t>
      </w:r>
      <w:r w:rsidR="00171112" w:rsidRPr="009E5539">
        <w:rPr>
          <w:rFonts w:cs="Times New Roman"/>
        </w:rPr>
        <w:t xml:space="preserve">., </w:t>
      </w:r>
      <w:r w:rsidR="00171112" w:rsidRPr="0004465A">
        <w:rPr>
          <w:rFonts w:cs="Helvetica"/>
        </w:rPr>
        <w:t>Johnson, H. L.,</w:t>
      </w:r>
      <w:r w:rsidR="00171112" w:rsidRPr="009E5539">
        <w:rPr>
          <w:rFonts w:cs="Helvetica"/>
          <w:b/>
        </w:rPr>
        <w:t xml:space="preserve"> </w:t>
      </w:r>
      <w:r w:rsidR="00171112" w:rsidRPr="0004465A">
        <w:rPr>
          <w:rFonts w:cs="Times New Roman"/>
          <w:b/>
        </w:rPr>
        <w:t>McClintock, E.</w:t>
      </w:r>
      <w:r w:rsidR="00171112" w:rsidRPr="009E5539">
        <w:rPr>
          <w:rFonts w:cs="Helvetica"/>
        </w:rPr>
        <w:t xml:space="preserve"> (2014, July). </w:t>
      </w:r>
      <w:r w:rsidR="00171112">
        <w:rPr>
          <w:rFonts w:cs="Helvetica"/>
        </w:rPr>
        <w:t>Relating student outcomes to teacher development of student-adaptive pedagogy</w:t>
      </w:r>
      <w:r w:rsidR="00171112" w:rsidRPr="009E5539">
        <w:rPr>
          <w:rFonts w:cs="Helvetica"/>
        </w:rPr>
        <w:t xml:space="preserve">. </w:t>
      </w:r>
      <w:r w:rsidR="00171112">
        <w:rPr>
          <w:rFonts w:cs="Helvetica"/>
        </w:rPr>
        <w:t xml:space="preserve">In </w:t>
      </w:r>
      <w:r w:rsidR="00171112" w:rsidRPr="00930DD1">
        <w:rPr>
          <w:rFonts w:cs="Times New Roman"/>
        </w:rPr>
        <w:t xml:space="preserve">Oesterle, S., Liljedahl, P., Nicol, C., &amp; Allan, D. (Eds.). (2014). </w:t>
      </w:r>
      <w:r w:rsidR="00171112" w:rsidRPr="00930DD1">
        <w:rPr>
          <w:rFonts w:cs="Times New Roman"/>
          <w:i/>
        </w:rPr>
        <w:t>Proceedings of the 38</w:t>
      </w:r>
      <w:r w:rsidR="00171112" w:rsidRPr="006F0D34">
        <w:rPr>
          <w:rFonts w:cs="Times New Roman"/>
          <w:i/>
          <w:vertAlign w:val="superscript"/>
        </w:rPr>
        <w:t>th</w:t>
      </w:r>
      <w:r w:rsidR="00171112">
        <w:rPr>
          <w:rFonts w:cs="Times New Roman"/>
          <w:i/>
        </w:rPr>
        <w:t xml:space="preserve"> </w:t>
      </w:r>
      <w:r w:rsidR="00171112" w:rsidRPr="00930DD1">
        <w:rPr>
          <w:rFonts w:cs="Times New Roman"/>
          <w:i/>
        </w:rPr>
        <w:t>Conference of the International Group for the Psychology of Mathematics Education and the 36</w:t>
      </w:r>
      <w:r w:rsidR="00171112" w:rsidRPr="006F0D34">
        <w:rPr>
          <w:rFonts w:cs="Times New Roman"/>
          <w:i/>
          <w:vertAlign w:val="superscript"/>
        </w:rPr>
        <w:t>th</w:t>
      </w:r>
      <w:r w:rsidR="00171112">
        <w:rPr>
          <w:rFonts w:cs="Times New Roman"/>
          <w:i/>
        </w:rPr>
        <w:t xml:space="preserve"> </w:t>
      </w:r>
      <w:r w:rsidR="00171112" w:rsidRPr="00930DD1">
        <w:rPr>
          <w:rFonts w:cs="Times New Roman"/>
          <w:i/>
        </w:rPr>
        <w:t>Conference of the North American Chapter of the Psychology of Mathematics Education</w:t>
      </w:r>
      <w:r w:rsidR="00171112">
        <w:rPr>
          <w:rFonts w:cs="Times New Roman"/>
        </w:rPr>
        <w:t xml:space="preserve"> </w:t>
      </w:r>
      <w:r w:rsidR="00171112">
        <w:t>(Vol. 3</w:t>
      </w:r>
      <w:r w:rsidR="00171112" w:rsidRPr="009E5539">
        <w:t xml:space="preserve">, pp. </w:t>
      </w:r>
      <w:r w:rsidR="00171112">
        <w:t>321-328</w:t>
      </w:r>
      <w:r w:rsidR="00171112" w:rsidRPr="009E5539">
        <w:t>)</w:t>
      </w:r>
      <w:r w:rsidR="00171112" w:rsidRPr="00930DD1">
        <w:rPr>
          <w:rFonts w:cs="Times New Roman"/>
        </w:rPr>
        <w:t>. Vancouver, Canada</w:t>
      </w:r>
      <w:r w:rsidR="00171112">
        <w:rPr>
          <w:rFonts w:cs="Times New Roman"/>
        </w:rPr>
        <w:t>: PME</w:t>
      </w:r>
      <w:r w:rsidR="00171112" w:rsidRPr="00930DD1">
        <w:rPr>
          <w:rFonts w:cs="Times New Roman"/>
        </w:rPr>
        <w:t>.</w:t>
      </w:r>
    </w:p>
    <w:p w14:paraId="7865F26D" w14:textId="77777777" w:rsidR="00CA1498" w:rsidRPr="00111F62" w:rsidRDefault="00CA1498" w:rsidP="00D46A3C">
      <w:pPr>
        <w:widowControl w:val="0"/>
        <w:tabs>
          <w:tab w:val="left" w:pos="1368"/>
        </w:tabs>
        <w:autoSpaceDE w:val="0"/>
        <w:autoSpaceDN w:val="0"/>
        <w:adjustRightInd w:val="0"/>
        <w:spacing w:after="0" w:line="240" w:lineRule="auto"/>
        <w:ind w:left="-7"/>
        <w:rPr>
          <w:rFonts w:ascii="Times" w:hAnsi="Times" w:cs="Times"/>
          <w:sz w:val="24"/>
          <w:szCs w:val="24"/>
        </w:rPr>
      </w:pPr>
    </w:p>
    <w:p w14:paraId="5DD4FA14" w14:textId="53114D0F" w:rsidR="009F37EC" w:rsidRPr="00B13D62" w:rsidRDefault="006E6152" w:rsidP="00636A24">
      <w:pPr>
        <w:pStyle w:val="NoSpacing"/>
        <w:ind w:left="2160" w:hanging="2160"/>
      </w:pPr>
      <w:r>
        <w:t>201</w:t>
      </w:r>
      <w:r w:rsidRPr="0048422D">
        <w:t>3</w:t>
      </w:r>
      <w:r w:rsidRPr="0048422D">
        <w:tab/>
      </w:r>
      <w:r w:rsidR="0004465A" w:rsidRPr="0004465A">
        <w:t>Johnson, H. L.,</w:t>
      </w:r>
      <w:r w:rsidR="0004465A">
        <w:t xml:space="preserve"> </w:t>
      </w:r>
      <w:r w:rsidR="0004465A" w:rsidRPr="0004465A">
        <w:rPr>
          <w:b/>
        </w:rPr>
        <w:t>McClintock, E.</w:t>
      </w:r>
      <w:r w:rsidR="0004465A">
        <w:t>, &amp; Ahmed J.</w:t>
      </w:r>
      <w:r w:rsidR="0004465A" w:rsidRPr="0048422D">
        <w:t xml:space="preserve"> (</w:t>
      </w:r>
      <w:r w:rsidR="0004465A">
        <w:t>2013, November</w:t>
      </w:r>
      <w:r w:rsidR="0004465A" w:rsidRPr="0048422D">
        <w:t xml:space="preserve">). </w:t>
      </w:r>
      <w:r w:rsidR="0004465A">
        <w:t>Coordinating representations of covarying quantities: Linking dynamic graphs &amp; filling area animations</w:t>
      </w:r>
      <w:r w:rsidR="0004465A" w:rsidRPr="0048422D">
        <w:t xml:space="preserve">. </w:t>
      </w:r>
      <w:r w:rsidR="0004465A">
        <w:t>In M. Martinez &amp; A. Castro Superfine (Eds.)</w:t>
      </w:r>
      <w:r w:rsidR="0004465A" w:rsidRPr="000A0746">
        <w:t xml:space="preserve"> </w:t>
      </w:r>
      <w:r w:rsidR="0004465A" w:rsidRPr="000A0746">
        <w:rPr>
          <w:i/>
        </w:rPr>
        <w:t>Proceedings of the 35</w:t>
      </w:r>
      <w:r w:rsidR="0004465A" w:rsidRPr="006F0D34">
        <w:rPr>
          <w:i/>
          <w:vertAlign w:val="superscript"/>
        </w:rPr>
        <w:t>th</w:t>
      </w:r>
      <w:r w:rsidR="0004465A">
        <w:rPr>
          <w:i/>
        </w:rPr>
        <w:t xml:space="preserve"> </w:t>
      </w:r>
      <w:r w:rsidR="0004465A" w:rsidRPr="00930DD1">
        <w:rPr>
          <w:rFonts w:cs="Times New Roman"/>
          <w:i/>
        </w:rPr>
        <w:t>Conference of the</w:t>
      </w:r>
      <w:r w:rsidR="0004465A" w:rsidRPr="000A0746">
        <w:rPr>
          <w:i/>
        </w:rPr>
        <w:t xml:space="preserve"> North American Chapter of the International Group for the Psychology of Mathematics Education</w:t>
      </w:r>
      <w:r w:rsidR="0004465A">
        <w:rPr>
          <w:i/>
        </w:rPr>
        <w:t xml:space="preserve"> </w:t>
      </w:r>
      <w:r w:rsidR="0004465A">
        <w:t>(p. 323)</w:t>
      </w:r>
      <w:r w:rsidR="0004465A">
        <w:rPr>
          <w:i/>
        </w:rPr>
        <w:t>.</w:t>
      </w:r>
      <w:r w:rsidR="0004465A">
        <w:t xml:space="preserve"> Chicago, IL: University of Illinois at Chicago.</w:t>
      </w:r>
    </w:p>
    <w:p w14:paraId="4CE00F95" w14:textId="77777777" w:rsidR="006E6152" w:rsidRPr="0048422D" w:rsidRDefault="006E6152" w:rsidP="00D46A3C">
      <w:pPr>
        <w:pStyle w:val="NoSpacing"/>
        <w:tabs>
          <w:tab w:val="left" w:pos="1368"/>
        </w:tabs>
        <w:ind w:left="1440" w:hanging="1440"/>
      </w:pPr>
    </w:p>
    <w:p w14:paraId="2E2A0FBF" w14:textId="3E24C7DE" w:rsidR="006E6152" w:rsidRDefault="006E6152" w:rsidP="0004465A">
      <w:pPr>
        <w:pStyle w:val="NoSpacing"/>
        <w:ind w:left="2160" w:hanging="2160"/>
      </w:pPr>
      <w:r w:rsidRPr="00D13B91">
        <w:t>2012</w:t>
      </w:r>
      <w:r w:rsidRPr="00645640">
        <w:tab/>
      </w:r>
      <w:r w:rsidR="0004465A" w:rsidRPr="00D13B91">
        <w:t xml:space="preserve">Tzur, R., </w:t>
      </w:r>
      <w:r w:rsidR="0004465A" w:rsidRPr="0004465A">
        <w:t>Johnson, H. L.,</w:t>
      </w:r>
      <w:r w:rsidR="0004465A" w:rsidRPr="00D13B91">
        <w:t xml:space="preserve"> </w:t>
      </w:r>
      <w:r w:rsidR="0004465A" w:rsidRPr="0004465A">
        <w:rPr>
          <w:b/>
        </w:rPr>
        <w:t>McClintock, E.</w:t>
      </w:r>
      <w:r w:rsidR="0004465A" w:rsidRPr="00D13B91">
        <w:t>, &amp; Risley, R. (2012, November). Culturally-mathematically relevant pe</w:t>
      </w:r>
      <w:r w:rsidR="002C1096">
        <w:t>dagogy (CMRP): Fostering urban E</w:t>
      </w:r>
      <w:r w:rsidR="0004465A" w:rsidRPr="00D13B91">
        <w:t xml:space="preserve">nglish language learners’ multiplicative reasoning. In L. R. Van Zoest, J. J. Lo, &amp; J. L. Kratky (Eds.), </w:t>
      </w:r>
      <w:r w:rsidR="0004465A">
        <w:rPr>
          <w:i/>
        </w:rPr>
        <w:t>Proceedings of the 34</w:t>
      </w:r>
      <w:r w:rsidR="0004465A" w:rsidRPr="006F0D34">
        <w:rPr>
          <w:i/>
          <w:vertAlign w:val="superscript"/>
        </w:rPr>
        <w:t>th</w:t>
      </w:r>
      <w:r w:rsidR="0004465A">
        <w:rPr>
          <w:i/>
        </w:rPr>
        <w:t xml:space="preserve"> </w:t>
      </w:r>
      <w:r w:rsidR="0004465A" w:rsidRPr="00930DD1">
        <w:rPr>
          <w:rFonts w:cs="Times New Roman"/>
          <w:i/>
        </w:rPr>
        <w:t xml:space="preserve">Conference of the </w:t>
      </w:r>
      <w:r w:rsidR="0004465A" w:rsidRPr="00D13B91">
        <w:rPr>
          <w:i/>
        </w:rPr>
        <w:t>North American Chapter of the International Group for the Psychology of Mathematics Education</w:t>
      </w:r>
      <w:r w:rsidR="0004465A" w:rsidRPr="00D13B91">
        <w:t xml:space="preserve"> (pp. 829-836). Kalamazoo, MI: Western Michigan University.</w:t>
      </w:r>
    </w:p>
    <w:p w14:paraId="1EAAE316" w14:textId="77777777" w:rsidR="006E6152" w:rsidRPr="00D13B91" w:rsidRDefault="006E6152" w:rsidP="00D46A3C">
      <w:pPr>
        <w:pStyle w:val="NoSpacing"/>
        <w:ind w:left="1440" w:hanging="1440"/>
      </w:pPr>
    </w:p>
    <w:p w14:paraId="5180EFFF" w14:textId="09F43D4A" w:rsidR="006E6152" w:rsidRPr="00F8182A" w:rsidRDefault="00CA1498" w:rsidP="0004465A">
      <w:pPr>
        <w:pStyle w:val="NoSpacing"/>
        <w:tabs>
          <w:tab w:val="left" w:pos="1440"/>
        </w:tabs>
        <w:ind w:left="2160" w:hanging="1440"/>
      </w:pPr>
      <w:r>
        <w:tab/>
      </w:r>
      <w:r w:rsidR="0004465A">
        <w:tab/>
      </w:r>
      <w:r w:rsidR="006E6152" w:rsidRPr="00D13B91">
        <w:t xml:space="preserve">Tzur, R., </w:t>
      </w:r>
      <w:r w:rsidR="006E6152" w:rsidRPr="0004465A">
        <w:t>Johnson, H.,</w:t>
      </w:r>
      <w:r w:rsidR="006E6152" w:rsidRPr="00D13B91">
        <w:t xml:space="preserve"> </w:t>
      </w:r>
      <w:r w:rsidR="006E6152" w:rsidRPr="0004465A">
        <w:rPr>
          <w:b/>
        </w:rPr>
        <w:t>McClintock, E.</w:t>
      </w:r>
      <w:r w:rsidR="006E6152" w:rsidRPr="00D13B91">
        <w:t xml:space="preserve">, Xin, Y. P., Si, L., Kenney, R., et al. (2012, July). Children's development of multiplicative reasoning: A schemes and tasks framework. In T.-Y. Tso (Ed.), </w:t>
      </w:r>
      <w:r w:rsidR="006E6152" w:rsidRPr="00D13B91">
        <w:rPr>
          <w:i/>
        </w:rPr>
        <w:t>Proceedings of the 36</w:t>
      </w:r>
      <w:r w:rsidR="006E6152" w:rsidRPr="006F0D34">
        <w:rPr>
          <w:i/>
          <w:vertAlign w:val="superscript"/>
        </w:rPr>
        <w:t>th</w:t>
      </w:r>
      <w:r w:rsidR="006E6152">
        <w:rPr>
          <w:i/>
        </w:rPr>
        <w:t xml:space="preserve"> C</w:t>
      </w:r>
      <w:r w:rsidR="006E6152" w:rsidRPr="00D13B91">
        <w:rPr>
          <w:i/>
        </w:rPr>
        <w:t>onference of the International Group for the Psychology of Mathematics Education</w:t>
      </w:r>
      <w:r w:rsidR="006E6152" w:rsidRPr="00D13B91">
        <w:t xml:space="preserve"> (Vol. 4, pp. 155-162). Taipei, Taiwan: National Taiwan Normal University.</w:t>
      </w:r>
    </w:p>
    <w:p w14:paraId="6F1B5A40" w14:textId="77777777" w:rsidR="006E6152" w:rsidRDefault="006E6152" w:rsidP="0025393A">
      <w:pPr>
        <w:pStyle w:val="NoSpacing"/>
        <w:contextualSpacing/>
        <w:rPr>
          <w:b/>
        </w:rPr>
      </w:pPr>
    </w:p>
    <w:p w14:paraId="13167D13" w14:textId="1E15854E" w:rsidR="003F72D7" w:rsidRDefault="00636A24" w:rsidP="0004465A">
      <w:pPr>
        <w:pStyle w:val="NoSpacing"/>
        <w:ind w:left="1440" w:hanging="1440"/>
        <w:rPr>
          <w:i/>
        </w:rPr>
      </w:pPr>
      <w:r>
        <w:rPr>
          <w:i/>
        </w:rPr>
        <w:t>REFEREED</w:t>
      </w:r>
      <w:r w:rsidR="003F72D7" w:rsidRPr="00621FB1">
        <w:rPr>
          <w:i/>
        </w:rPr>
        <w:t xml:space="preserve"> BOOK CHAPTERS</w:t>
      </w:r>
      <w:r w:rsidR="00575867">
        <w:rPr>
          <w:i/>
        </w:rPr>
        <w:t xml:space="preserve"> </w:t>
      </w:r>
    </w:p>
    <w:p w14:paraId="26292B1C" w14:textId="77777777" w:rsidR="002C1096" w:rsidRDefault="002C1096" w:rsidP="002C1096">
      <w:pPr>
        <w:widowControl w:val="0"/>
        <w:autoSpaceDE w:val="0"/>
        <w:autoSpaceDN w:val="0"/>
        <w:adjustRightInd w:val="0"/>
        <w:spacing w:after="0" w:line="240" w:lineRule="auto"/>
        <w:rPr>
          <w:rFonts w:cs="Helvetica"/>
        </w:rPr>
      </w:pPr>
    </w:p>
    <w:p w14:paraId="2FA6EAFF" w14:textId="7D92B355" w:rsidR="009B2B20" w:rsidRDefault="0084454E" w:rsidP="009B2B20">
      <w:pPr>
        <w:widowControl w:val="0"/>
        <w:autoSpaceDE w:val="0"/>
        <w:autoSpaceDN w:val="0"/>
        <w:adjustRightInd w:val="0"/>
        <w:spacing w:after="0" w:line="240" w:lineRule="auto"/>
        <w:ind w:left="2160" w:hanging="2160"/>
        <w:rPr>
          <w:rFonts w:cs="Helvetica"/>
        </w:rPr>
      </w:pPr>
      <w:r>
        <w:rPr>
          <w:rFonts w:cs="Helvetica"/>
        </w:rPr>
        <w:t>2015</w:t>
      </w:r>
      <w:r w:rsidR="00966C5A" w:rsidRPr="00966C5A">
        <w:rPr>
          <w:rFonts w:cs="Helvetica"/>
        </w:rPr>
        <w:tab/>
      </w:r>
      <w:r w:rsidR="009B2B20" w:rsidRPr="009B2B20">
        <w:rPr>
          <w:rFonts w:cs="Helvetica"/>
          <w:b/>
        </w:rPr>
        <w:t>McClintock, E.</w:t>
      </w:r>
      <w:r w:rsidR="009B2B20" w:rsidRPr="001252E0">
        <w:rPr>
          <w:rFonts w:cs="Helvetica"/>
        </w:rPr>
        <w:t xml:space="preserve">, Peters, S., Kinol, D., Reed, S., </w:t>
      </w:r>
      <w:r w:rsidR="009B2B20" w:rsidRPr="009B2B20">
        <w:rPr>
          <w:rFonts w:cs="Helvetica"/>
        </w:rPr>
        <w:t>Johnson, H.,</w:t>
      </w:r>
      <w:r w:rsidR="009B2B20" w:rsidRPr="001252E0">
        <w:rPr>
          <w:rFonts w:cs="Helvetica"/>
        </w:rPr>
        <w:t xml:space="preserve"> Tillema, E., Zbiek, R. M., Heid, M. K., Donaldson, S., Murray, E., &amp; Blume, G. (2015). Similarity: Situation 32 from the MACMTL-CPTM situations project. In M. K. Heid, P. S. Wilson, with G. W. Blume (Eds.), </w:t>
      </w:r>
      <w:r w:rsidR="009B2B20" w:rsidRPr="001252E0">
        <w:rPr>
          <w:rFonts w:cs="Helvetica"/>
          <w:i/>
          <w:iCs/>
        </w:rPr>
        <w:t>Mathematical understanding for secondary teaching: A framework and classroom-based situations</w:t>
      </w:r>
      <w:r w:rsidR="009B2B20" w:rsidRPr="001252E0">
        <w:rPr>
          <w:rFonts w:cs="Helvetica"/>
        </w:rPr>
        <w:t xml:space="preserve"> (pp. 343-350). Charlotte, </w:t>
      </w:r>
      <w:r w:rsidR="009B2B20" w:rsidRPr="001252E0">
        <w:rPr>
          <w:rFonts w:cs="Helvetica"/>
        </w:rPr>
        <w:lastRenderedPageBreak/>
        <w:t>NC: Information Age Publishing</w:t>
      </w:r>
      <w:r w:rsidR="002D458C">
        <w:rPr>
          <w:rFonts w:cs="Helvetica"/>
        </w:rPr>
        <w:t>.</w:t>
      </w:r>
    </w:p>
    <w:p w14:paraId="340C1C3E" w14:textId="77777777" w:rsidR="005B001B" w:rsidRDefault="005B001B" w:rsidP="009B2B20">
      <w:pPr>
        <w:widowControl w:val="0"/>
        <w:autoSpaceDE w:val="0"/>
        <w:autoSpaceDN w:val="0"/>
        <w:adjustRightInd w:val="0"/>
        <w:spacing w:after="0" w:line="240" w:lineRule="auto"/>
        <w:ind w:left="2160" w:hanging="2160"/>
        <w:rPr>
          <w:rFonts w:cs="Helvetica"/>
        </w:rPr>
      </w:pPr>
    </w:p>
    <w:p w14:paraId="4FA4565C" w14:textId="7FF6D0AA" w:rsidR="005B001B" w:rsidRPr="001252E0" w:rsidRDefault="005B001B" w:rsidP="009B2B20">
      <w:pPr>
        <w:widowControl w:val="0"/>
        <w:autoSpaceDE w:val="0"/>
        <w:autoSpaceDN w:val="0"/>
        <w:adjustRightInd w:val="0"/>
        <w:spacing w:after="0" w:line="240" w:lineRule="auto"/>
        <w:ind w:left="2160" w:hanging="2160"/>
        <w:rPr>
          <w:rFonts w:cs="Helvetica"/>
        </w:rPr>
      </w:pPr>
      <w:r>
        <w:rPr>
          <w:rFonts w:cs="Helvetica"/>
        </w:rPr>
        <w:tab/>
      </w:r>
      <w:r w:rsidRPr="00863A87">
        <w:rPr>
          <w:rFonts w:cs="Helvetica"/>
        </w:rPr>
        <w:t xml:space="preserve">Findell, B., </w:t>
      </w:r>
      <w:r w:rsidRPr="00863A87">
        <w:rPr>
          <w:rFonts w:cs="Helvetica"/>
          <w:b/>
        </w:rPr>
        <w:t>McClintock, E.</w:t>
      </w:r>
      <w:r w:rsidRPr="00863A87">
        <w:rPr>
          <w:rFonts w:cs="Helvetica"/>
        </w:rPr>
        <w:t>, Blume, G., Fox, R., Zbiek, R. M., Gleason, B. (2015). Division involving zero</w:t>
      </w:r>
      <w:r w:rsidR="00863A87">
        <w:rPr>
          <w:rFonts w:cs="Helvetica"/>
        </w:rPr>
        <w:t xml:space="preserve">: Situation 1 </w:t>
      </w:r>
      <w:r w:rsidR="00863A87" w:rsidRPr="001252E0">
        <w:rPr>
          <w:rFonts w:cs="Helvetica"/>
        </w:rPr>
        <w:t xml:space="preserve">from the MACMTL-CPTM situations project. In M. K. Heid, P. S. Wilson, with G. W. Blume (Eds.), </w:t>
      </w:r>
      <w:r w:rsidR="00863A87" w:rsidRPr="001252E0">
        <w:rPr>
          <w:rFonts w:cs="Helvetica"/>
          <w:i/>
          <w:iCs/>
        </w:rPr>
        <w:t>Mathematical understanding for secondary teaching: A framework and classroom-based situations</w:t>
      </w:r>
      <w:r w:rsidR="00863A87" w:rsidRPr="001252E0">
        <w:rPr>
          <w:rFonts w:cs="Helvetica"/>
        </w:rPr>
        <w:t xml:space="preserve"> (pp. </w:t>
      </w:r>
      <w:r w:rsidR="00863A87">
        <w:rPr>
          <w:rFonts w:cs="Helvetica"/>
        </w:rPr>
        <w:t>95-101</w:t>
      </w:r>
      <w:r w:rsidR="00863A87" w:rsidRPr="001252E0">
        <w:rPr>
          <w:rFonts w:cs="Helvetica"/>
        </w:rPr>
        <w:t>). Charlotte, NC: Information Age Publishing</w:t>
      </w:r>
      <w:r w:rsidR="002D458C">
        <w:rPr>
          <w:rFonts w:cs="Helvetica"/>
        </w:rPr>
        <w:t>.</w:t>
      </w:r>
    </w:p>
    <w:p w14:paraId="4B83A218" w14:textId="77777777" w:rsidR="00FD4B86" w:rsidRDefault="00FD4B86" w:rsidP="0004465A">
      <w:pPr>
        <w:widowControl w:val="0"/>
        <w:autoSpaceDE w:val="0"/>
        <w:autoSpaceDN w:val="0"/>
        <w:adjustRightInd w:val="0"/>
        <w:spacing w:after="0" w:line="240" w:lineRule="auto"/>
        <w:ind w:left="2160" w:hanging="2160"/>
        <w:rPr>
          <w:rFonts w:cs="Helvetica"/>
        </w:rPr>
      </w:pPr>
    </w:p>
    <w:p w14:paraId="13EE3E8D" w14:textId="3AB015A6" w:rsidR="00FD4B86" w:rsidRDefault="00FD4B86" w:rsidP="00FD4B86">
      <w:pPr>
        <w:widowControl w:val="0"/>
        <w:autoSpaceDE w:val="0"/>
        <w:autoSpaceDN w:val="0"/>
        <w:adjustRightInd w:val="0"/>
        <w:spacing w:after="0" w:line="240" w:lineRule="auto"/>
        <w:ind w:left="2160"/>
        <w:rPr>
          <w:rFonts w:cs="Helvetica"/>
        </w:rPr>
      </w:pPr>
      <w:r w:rsidRPr="00863A87">
        <w:rPr>
          <w:rFonts w:cs="Helvetica"/>
        </w:rPr>
        <w:t xml:space="preserve">Hembree, D., Tillema, E., </w:t>
      </w:r>
      <w:r w:rsidRPr="00863A87">
        <w:rPr>
          <w:rFonts w:cs="Helvetica"/>
          <w:b/>
        </w:rPr>
        <w:t>McClintock, E.</w:t>
      </w:r>
      <w:r w:rsidRPr="00863A87">
        <w:rPr>
          <w:rFonts w:cs="Helvetica"/>
        </w:rPr>
        <w:t>, Zbiek, R. M., Johnson, H., Wilson, P., Wilson, J., &amp; Fox, R. (</w:t>
      </w:r>
      <w:r w:rsidR="005B001B" w:rsidRPr="00863A87">
        <w:rPr>
          <w:rFonts w:cs="Helvetica"/>
        </w:rPr>
        <w:t>2015</w:t>
      </w:r>
      <w:r w:rsidRPr="00863A87">
        <w:rPr>
          <w:rFonts w:cs="Helvetica"/>
        </w:rPr>
        <w:t>). Simu</w:t>
      </w:r>
      <w:r w:rsidR="00863A87">
        <w:rPr>
          <w:rFonts w:cs="Helvetica"/>
        </w:rPr>
        <w:t>ltaneous equations: Situation 18</w:t>
      </w:r>
      <w:r w:rsidRPr="00863A87">
        <w:rPr>
          <w:rFonts w:cs="Helvetica"/>
        </w:rPr>
        <w:t xml:space="preserve"> from the MACMTL-CPTM situations project. In M. K. Heid, P. S. Wilson &amp; G. W. Blume (Eds.), </w:t>
      </w:r>
      <w:r w:rsidRPr="00863A87">
        <w:rPr>
          <w:rFonts w:cs="Helvetica"/>
          <w:i/>
          <w:iCs/>
        </w:rPr>
        <w:t>Mathematical understanding for secondary teaching: A framework and classroom-based situations</w:t>
      </w:r>
      <w:r w:rsidR="00863A87" w:rsidRPr="00863A87">
        <w:rPr>
          <w:rFonts w:cs="Helvetica"/>
        </w:rPr>
        <w:t xml:space="preserve"> (pp. 229-237</w:t>
      </w:r>
      <w:r w:rsidRPr="00863A87">
        <w:rPr>
          <w:rFonts w:cs="Helvetica"/>
        </w:rPr>
        <w:t>). Charlotte, NC: Information Age Publishing</w:t>
      </w:r>
      <w:r w:rsidR="002D458C">
        <w:rPr>
          <w:rFonts w:cs="Helvetica"/>
        </w:rPr>
        <w:t>.</w:t>
      </w:r>
    </w:p>
    <w:p w14:paraId="5906C057" w14:textId="77777777" w:rsidR="0004465A" w:rsidRDefault="0004465A" w:rsidP="00966C5A">
      <w:pPr>
        <w:widowControl w:val="0"/>
        <w:autoSpaceDE w:val="0"/>
        <w:autoSpaceDN w:val="0"/>
        <w:adjustRightInd w:val="0"/>
        <w:spacing w:after="0" w:line="240" w:lineRule="auto"/>
        <w:ind w:left="1440" w:hanging="1440"/>
        <w:rPr>
          <w:rFonts w:cs="Helvetica"/>
        </w:rPr>
      </w:pPr>
    </w:p>
    <w:p w14:paraId="1C76CE00" w14:textId="41C8560F" w:rsidR="003F72D7" w:rsidRDefault="00FD4B86" w:rsidP="00FD4B86">
      <w:pPr>
        <w:widowControl w:val="0"/>
        <w:autoSpaceDE w:val="0"/>
        <w:autoSpaceDN w:val="0"/>
        <w:adjustRightInd w:val="0"/>
        <w:spacing w:after="0" w:line="240" w:lineRule="auto"/>
        <w:ind w:left="2160"/>
        <w:rPr>
          <w:rFonts w:cs="Helvetica"/>
        </w:rPr>
      </w:pPr>
      <w:r w:rsidRPr="00FD4B86">
        <w:rPr>
          <w:rFonts w:cs="Helvetica"/>
        </w:rPr>
        <w:t>Johnson, H.,</w:t>
      </w:r>
      <w:r w:rsidRPr="001252E0">
        <w:rPr>
          <w:rFonts w:cs="Helvetica"/>
        </w:rPr>
        <w:t xml:space="preserve"> Karunakaran, S., Fox, R., &amp; </w:t>
      </w:r>
      <w:r w:rsidRPr="00FD4B86">
        <w:rPr>
          <w:rFonts w:cs="Helvetica"/>
          <w:b/>
        </w:rPr>
        <w:t>McClintock, E.</w:t>
      </w:r>
      <w:r w:rsidRPr="001252E0">
        <w:rPr>
          <w:rFonts w:cs="Helvetica"/>
        </w:rPr>
        <w:t xml:space="preserve"> (2015). Square root of </w:t>
      </w:r>
      <w:r w:rsidRPr="001252E0">
        <w:rPr>
          <w:rFonts w:cs="Helvetica"/>
          <w:i/>
        </w:rPr>
        <w:t>i</w:t>
      </w:r>
      <w:r w:rsidRPr="001252E0">
        <w:rPr>
          <w:rFonts w:cs="Helvetica"/>
        </w:rPr>
        <w:t xml:space="preserve">: Situation 9 from the MACMTL-CPTM situations project. In M. K. Heid, P. S. Wilson, with G. W. Blume (Eds.), </w:t>
      </w:r>
      <w:r w:rsidRPr="001252E0">
        <w:rPr>
          <w:rFonts w:cs="Helvetica"/>
          <w:i/>
          <w:iCs/>
        </w:rPr>
        <w:t>Mathematical understanding for secondary teaching: A framework and classroom-based situations</w:t>
      </w:r>
      <w:r w:rsidRPr="001252E0">
        <w:rPr>
          <w:rFonts w:cs="Helvetica"/>
        </w:rPr>
        <w:t xml:space="preserve"> (pp. 171-177). Charlotte, NC: Information Age Publishing</w:t>
      </w:r>
      <w:r w:rsidR="002D458C">
        <w:rPr>
          <w:rFonts w:cs="Helvetica"/>
        </w:rPr>
        <w:t>.</w:t>
      </w:r>
    </w:p>
    <w:p w14:paraId="1835BA2C" w14:textId="77777777" w:rsidR="00FD4B86" w:rsidRPr="000C5630" w:rsidRDefault="00FD4B86" w:rsidP="003F72D7">
      <w:pPr>
        <w:widowControl w:val="0"/>
        <w:autoSpaceDE w:val="0"/>
        <w:autoSpaceDN w:val="0"/>
        <w:adjustRightInd w:val="0"/>
        <w:spacing w:after="0" w:line="240" w:lineRule="auto"/>
        <w:ind w:left="1440" w:hanging="1440"/>
        <w:rPr>
          <w:rFonts w:cs="Helvetica"/>
        </w:rPr>
      </w:pPr>
    </w:p>
    <w:p w14:paraId="7E8FA9DA" w14:textId="103B5FF1" w:rsidR="00FD4B86" w:rsidRPr="001252E0" w:rsidRDefault="00FD4B86" w:rsidP="00FD4B86">
      <w:pPr>
        <w:widowControl w:val="0"/>
        <w:autoSpaceDE w:val="0"/>
        <w:autoSpaceDN w:val="0"/>
        <w:adjustRightInd w:val="0"/>
        <w:spacing w:after="0" w:line="240" w:lineRule="auto"/>
        <w:ind w:left="2160"/>
        <w:rPr>
          <w:rFonts w:cs="Helvetica"/>
        </w:rPr>
      </w:pPr>
      <w:r w:rsidRPr="00FD4B86">
        <w:rPr>
          <w:rFonts w:cs="Helvetica"/>
        </w:rPr>
        <w:t>Johnson, H.,</w:t>
      </w:r>
      <w:r w:rsidRPr="001252E0">
        <w:rPr>
          <w:rFonts w:cs="Helvetica"/>
        </w:rPr>
        <w:t xml:space="preserve"> Karunakaran, S., </w:t>
      </w:r>
      <w:r w:rsidRPr="00FD4B86">
        <w:rPr>
          <w:rFonts w:cs="Helvetica"/>
          <w:b/>
        </w:rPr>
        <w:t>McClintock, E.</w:t>
      </w:r>
      <w:r w:rsidRPr="001252E0">
        <w:rPr>
          <w:rFonts w:cs="Helvetica"/>
        </w:rPr>
        <w:t xml:space="preserve">, Nazarewicz, P., Jacobson, E., &amp; Edenfield, K. (2015). Absolute value in complex plane: </w:t>
      </w:r>
      <w:r w:rsidR="00863A87">
        <w:rPr>
          <w:rFonts w:cs="Helvetica"/>
        </w:rPr>
        <w:t>Situation 7</w:t>
      </w:r>
      <w:r w:rsidRPr="001252E0">
        <w:rPr>
          <w:rFonts w:cs="Helvetica"/>
        </w:rPr>
        <w:t xml:space="preserve"> from the MACMTL-CPTM situations project. In M. K. Heid, P. S. Wilson, with G. W. Blume (Eds.), </w:t>
      </w:r>
      <w:r w:rsidRPr="001252E0">
        <w:rPr>
          <w:rFonts w:cs="Helvetica"/>
          <w:i/>
          <w:iCs/>
        </w:rPr>
        <w:t>Mathematical understanding for secondary teaching: A framework and classroom-based situations</w:t>
      </w:r>
      <w:r w:rsidRPr="001252E0">
        <w:rPr>
          <w:rFonts w:cs="Helvetica"/>
        </w:rPr>
        <w:t xml:space="preserve"> (pp. </w:t>
      </w:r>
      <w:r>
        <w:rPr>
          <w:rFonts w:cs="Helvetica"/>
        </w:rPr>
        <w:t>155-161</w:t>
      </w:r>
      <w:r w:rsidRPr="001252E0">
        <w:rPr>
          <w:rFonts w:cs="Helvetica"/>
        </w:rPr>
        <w:t>). Charlotte, NC: Information Age Publishing</w:t>
      </w:r>
      <w:r w:rsidR="002D458C">
        <w:rPr>
          <w:rFonts w:cs="Helvetica"/>
        </w:rPr>
        <w:t>.</w:t>
      </w:r>
    </w:p>
    <w:p w14:paraId="1794067B" w14:textId="77777777" w:rsidR="003F72D7" w:rsidRPr="000C5630" w:rsidRDefault="003F72D7" w:rsidP="003F72D7">
      <w:pPr>
        <w:widowControl w:val="0"/>
        <w:autoSpaceDE w:val="0"/>
        <w:autoSpaceDN w:val="0"/>
        <w:adjustRightInd w:val="0"/>
        <w:spacing w:after="0" w:line="240" w:lineRule="auto"/>
        <w:ind w:left="1440" w:hanging="1440"/>
        <w:rPr>
          <w:rFonts w:cs="Helvetica"/>
        </w:rPr>
      </w:pPr>
    </w:p>
    <w:p w14:paraId="45CE8003" w14:textId="50DC63D6" w:rsidR="00FD4B86" w:rsidRDefault="00FD4B86" w:rsidP="00FD4B86">
      <w:pPr>
        <w:widowControl w:val="0"/>
        <w:autoSpaceDE w:val="0"/>
        <w:autoSpaceDN w:val="0"/>
        <w:adjustRightInd w:val="0"/>
        <w:spacing w:after="0" w:line="240" w:lineRule="auto"/>
        <w:ind w:left="2160"/>
        <w:rPr>
          <w:rFonts w:cs="Helvetica"/>
        </w:rPr>
      </w:pPr>
      <w:r w:rsidRPr="00FD4B86">
        <w:rPr>
          <w:rFonts w:cs="Helvetica"/>
        </w:rPr>
        <w:t xml:space="preserve">Johnson, H., </w:t>
      </w:r>
      <w:r w:rsidRPr="00FD4B86">
        <w:rPr>
          <w:rFonts w:cs="Helvetica"/>
          <w:b/>
        </w:rPr>
        <w:t>McClintock, E.</w:t>
      </w:r>
      <w:r w:rsidRPr="001252E0">
        <w:rPr>
          <w:rFonts w:cs="Helvetica"/>
        </w:rPr>
        <w:t xml:space="preserve">, Zbiek, R. M., Gleason, B., Broderick, S., &amp; Wilson J. (2015). Graphing sin(2x): Situation 36 from the MACMTL-CPTM situations project. In M. In M. K. Heid, P. S. Wilson, with G. W. Blume (Eds.), </w:t>
      </w:r>
      <w:r w:rsidRPr="001252E0">
        <w:rPr>
          <w:rFonts w:cs="Helvetica"/>
          <w:i/>
          <w:iCs/>
        </w:rPr>
        <w:t>Mathematical understanding for secondary teaching: A framework and classroom-based situations</w:t>
      </w:r>
      <w:r w:rsidRPr="001252E0">
        <w:rPr>
          <w:rFonts w:cs="Helvetica"/>
        </w:rPr>
        <w:t xml:space="preserve"> (pp. 385-389). Charlotte, NC: Information Age Publishing</w:t>
      </w:r>
      <w:r w:rsidR="002D458C">
        <w:rPr>
          <w:rFonts w:cs="Helvetica"/>
        </w:rPr>
        <w:t>.</w:t>
      </w:r>
    </w:p>
    <w:p w14:paraId="2AB6463B" w14:textId="77777777" w:rsidR="00FD4B86" w:rsidRDefault="00FD4B86" w:rsidP="00FD4B86">
      <w:pPr>
        <w:widowControl w:val="0"/>
        <w:autoSpaceDE w:val="0"/>
        <w:autoSpaceDN w:val="0"/>
        <w:adjustRightInd w:val="0"/>
        <w:spacing w:after="0" w:line="240" w:lineRule="auto"/>
        <w:ind w:left="2160"/>
        <w:rPr>
          <w:rFonts w:cs="Helvetica"/>
        </w:rPr>
      </w:pPr>
    </w:p>
    <w:p w14:paraId="7D4C0625" w14:textId="31EEE6EE" w:rsidR="00FD4B86" w:rsidRDefault="00FD4B86" w:rsidP="00FD4B86">
      <w:pPr>
        <w:widowControl w:val="0"/>
        <w:autoSpaceDE w:val="0"/>
        <w:autoSpaceDN w:val="0"/>
        <w:adjustRightInd w:val="0"/>
        <w:spacing w:after="0" w:line="240" w:lineRule="auto"/>
        <w:ind w:left="2160"/>
        <w:rPr>
          <w:rFonts w:cs="Helvetica"/>
        </w:rPr>
      </w:pPr>
      <w:r w:rsidRPr="001252E0">
        <w:rPr>
          <w:rFonts w:cs="Helvetica"/>
        </w:rPr>
        <w:t xml:space="preserve">Johnson, H., Reed, S., </w:t>
      </w:r>
      <w:r w:rsidRPr="00FD4B86">
        <w:rPr>
          <w:rFonts w:cs="Helvetica"/>
          <w:b/>
        </w:rPr>
        <w:t>McClintock, E.</w:t>
      </w:r>
      <w:r>
        <w:rPr>
          <w:rFonts w:cs="Helvetica"/>
        </w:rPr>
        <w:t>,</w:t>
      </w:r>
      <w:r w:rsidRPr="001252E0">
        <w:rPr>
          <w:rFonts w:cs="Helvetica"/>
        </w:rPr>
        <w:t xml:space="preserve"> Jacobson, E., &amp; Edenfield, K. (2015). The product rule for differentiation: Situation 42 from the MACMTL-CPTM situations project. In M. K. Heid, P. S. Wilson, with G. W. Blume (Eds.), </w:t>
      </w:r>
      <w:r w:rsidRPr="001252E0">
        <w:rPr>
          <w:rFonts w:cs="Helvetica"/>
          <w:i/>
          <w:iCs/>
        </w:rPr>
        <w:t>Mathematical understanding for secondary teaching: A framework and classroom-based situations</w:t>
      </w:r>
      <w:r w:rsidRPr="001252E0">
        <w:rPr>
          <w:rFonts w:cs="Helvetica"/>
        </w:rPr>
        <w:t xml:space="preserve"> (pp. 425-431). Charlotte, NC: Information Age Publishing</w:t>
      </w:r>
      <w:r w:rsidR="002D458C">
        <w:rPr>
          <w:rFonts w:cs="Helvetica"/>
        </w:rPr>
        <w:t>.</w:t>
      </w:r>
    </w:p>
    <w:p w14:paraId="0E6F5555" w14:textId="77777777" w:rsidR="00FD4B86" w:rsidRDefault="00FD4B86" w:rsidP="00FD4B86">
      <w:pPr>
        <w:widowControl w:val="0"/>
        <w:autoSpaceDE w:val="0"/>
        <w:autoSpaceDN w:val="0"/>
        <w:adjustRightInd w:val="0"/>
        <w:spacing w:after="0" w:line="240" w:lineRule="auto"/>
        <w:ind w:left="2160"/>
        <w:rPr>
          <w:rFonts w:cs="Helvetica"/>
        </w:rPr>
      </w:pPr>
    </w:p>
    <w:p w14:paraId="2A5CB62A" w14:textId="351DF84D" w:rsidR="00FD4B86" w:rsidRPr="001252E0" w:rsidRDefault="00FD4B86" w:rsidP="00FD4B86">
      <w:pPr>
        <w:widowControl w:val="0"/>
        <w:autoSpaceDE w:val="0"/>
        <w:autoSpaceDN w:val="0"/>
        <w:adjustRightInd w:val="0"/>
        <w:spacing w:after="0" w:line="240" w:lineRule="auto"/>
        <w:ind w:left="2160"/>
        <w:rPr>
          <w:rFonts w:cs="Helvetica"/>
        </w:rPr>
      </w:pPr>
      <w:r w:rsidRPr="001252E0">
        <w:rPr>
          <w:rFonts w:cs="Helvetica"/>
        </w:rPr>
        <w:t xml:space="preserve">Peters, S., </w:t>
      </w:r>
      <w:r w:rsidRPr="00FD4B86">
        <w:rPr>
          <w:rFonts w:cs="Helvetica"/>
          <w:b/>
        </w:rPr>
        <w:t>McClintock, E.</w:t>
      </w:r>
      <w:r w:rsidRPr="001252E0">
        <w:rPr>
          <w:rFonts w:cs="Helvetica"/>
        </w:rPr>
        <w:t xml:space="preserve">, Kinol, D., Grady, M., </w:t>
      </w:r>
      <w:r w:rsidRPr="00FD4B86">
        <w:rPr>
          <w:rFonts w:cs="Helvetica"/>
        </w:rPr>
        <w:t>Johnson, H.,</w:t>
      </w:r>
      <w:r w:rsidRPr="001252E0">
        <w:rPr>
          <w:rFonts w:cs="Helvetica"/>
        </w:rPr>
        <w:t xml:space="preserve"> Konnova, S., &amp; Heid, M. K. (2015). Least squares regression: Situation 41 from the MACMTL-CPTM situations project. In M. K. Heid, P. S. Wilson, with G. W. Blume (Eds.), </w:t>
      </w:r>
      <w:r w:rsidRPr="001252E0">
        <w:rPr>
          <w:rFonts w:cs="Helvetica"/>
          <w:i/>
          <w:iCs/>
        </w:rPr>
        <w:t>Mathematical understanding for secondary teaching: A framework and classroom-based situations</w:t>
      </w:r>
      <w:r w:rsidRPr="001252E0">
        <w:rPr>
          <w:rFonts w:cs="Helvetica"/>
        </w:rPr>
        <w:t xml:space="preserve"> (pp. 421-424). Charlotte, NC: Information Age Publishing</w:t>
      </w:r>
      <w:r w:rsidR="002D458C">
        <w:rPr>
          <w:rFonts w:cs="Helvetica"/>
        </w:rPr>
        <w:t>.</w:t>
      </w:r>
    </w:p>
    <w:p w14:paraId="0460BD76" w14:textId="77777777" w:rsidR="003F72D7" w:rsidRDefault="003F72D7" w:rsidP="0004465A">
      <w:pPr>
        <w:widowControl w:val="0"/>
        <w:autoSpaceDE w:val="0"/>
        <w:autoSpaceDN w:val="0"/>
        <w:adjustRightInd w:val="0"/>
        <w:spacing w:after="0" w:line="240" w:lineRule="auto"/>
        <w:rPr>
          <w:rFonts w:cs="Helvetica"/>
        </w:rPr>
      </w:pPr>
    </w:p>
    <w:p w14:paraId="48D9C21E" w14:textId="77777777" w:rsidR="005B001B" w:rsidRPr="00863A87" w:rsidRDefault="005B001B" w:rsidP="0004465A">
      <w:pPr>
        <w:widowControl w:val="0"/>
        <w:autoSpaceDE w:val="0"/>
        <w:autoSpaceDN w:val="0"/>
        <w:adjustRightInd w:val="0"/>
        <w:spacing w:after="0" w:line="240" w:lineRule="auto"/>
        <w:rPr>
          <w:rFonts w:cs="Helvetica"/>
        </w:rPr>
      </w:pPr>
      <w:r>
        <w:rPr>
          <w:rFonts w:cs="Helvetica"/>
        </w:rPr>
        <w:tab/>
      </w:r>
      <w:r>
        <w:rPr>
          <w:rFonts w:cs="Helvetica"/>
        </w:rPr>
        <w:tab/>
      </w:r>
      <w:r>
        <w:rPr>
          <w:rFonts w:cs="Helvetica"/>
        </w:rPr>
        <w:tab/>
      </w:r>
      <w:r w:rsidRPr="00863A87">
        <w:rPr>
          <w:rFonts w:cs="Helvetica"/>
        </w:rPr>
        <w:t xml:space="preserve">Peters, S., </w:t>
      </w:r>
      <w:r w:rsidRPr="00863A87">
        <w:rPr>
          <w:rFonts w:cs="Helvetica"/>
          <w:b/>
        </w:rPr>
        <w:t>McClintock, E.</w:t>
      </w:r>
      <w:r w:rsidRPr="00863A87">
        <w:rPr>
          <w:rFonts w:cs="Helvetica"/>
        </w:rPr>
        <w:t xml:space="preserve">, Kinol, D., Karunakaran, S., Zbiek, R. M., Heid, M. K., </w:t>
      </w:r>
    </w:p>
    <w:p w14:paraId="791AC71B" w14:textId="59CB7285" w:rsidR="005B001B" w:rsidRDefault="005B001B" w:rsidP="00863A87">
      <w:pPr>
        <w:widowControl w:val="0"/>
        <w:autoSpaceDE w:val="0"/>
        <w:autoSpaceDN w:val="0"/>
        <w:adjustRightInd w:val="0"/>
        <w:spacing w:after="0" w:line="240" w:lineRule="auto"/>
        <w:ind w:left="2160"/>
        <w:rPr>
          <w:rFonts w:cs="Helvetica"/>
        </w:rPr>
      </w:pPr>
      <w:r w:rsidRPr="00863A87">
        <w:rPr>
          <w:rFonts w:cs="Helvetica"/>
        </w:rPr>
        <w:lastRenderedPageBreak/>
        <w:t>Singletary, L., &amp; Donaldson, S. (2015). Mean and median</w:t>
      </w:r>
      <w:r w:rsidR="00863A87" w:rsidRPr="00863A87">
        <w:rPr>
          <w:rFonts w:cs="Helvetica"/>
        </w:rPr>
        <w:t>:</w:t>
      </w:r>
      <w:r w:rsidR="00863A87">
        <w:rPr>
          <w:rFonts w:cs="Helvetica"/>
        </w:rPr>
        <w:t xml:space="preserve"> Situation 38 </w:t>
      </w:r>
      <w:r w:rsidR="00863A87" w:rsidRPr="001252E0">
        <w:rPr>
          <w:rFonts w:cs="Helvetica"/>
        </w:rPr>
        <w:t xml:space="preserve">from the MACMTL-CPTM situations project. In M. K. Heid, P. S. Wilson, with G. W. Blume (Eds.), </w:t>
      </w:r>
      <w:r w:rsidR="00863A87" w:rsidRPr="001252E0">
        <w:rPr>
          <w:rFonts w:cs="Helvetica"/>
          <w:i/>
          <w:iCs/>
        </w:rPr>
        <w:t>Mathematical understanding for secondary teaching: A framework and classroom-based situations</w:t>
      </w:r>
      <w:r w:rsidR="00863A87">
        <w:rPr>
          <w:rFonts w:cs="Helvetica"/>
        </w:rPr>
        <w:t xml:space="preserve"> (pp. 397-404</w:t>
      </w:r>
      <w:r w:rsidR="00863A87" w:rsidRPr="001252E0">
        <w:rPr>
          <w:rFonts w:cs="Helvetica"/>
        </w:rPr>
        <w:t>). Charlotte, NC: Information Age Publishing</w:t>
      </w:r>
      <w:r w:rsidR="002D458C">
        <w:rPr>
          <w:rFonts w:cs="Helvetica"/>
        </w:rPr>
        <w:t>.</w:t>
      </w:r>
    </w:p>
    <w:p w14:paraId="13556241" w14:textId="77777777" w:rsidR="005B001B" w:rsidRDefault="005B001B" w:rsidP="0004465A">
      <w:pPr>
        <w:widowControl w:val="0"/>
        <w:autoSpaceDE w:val="0"/>
        <w:autoSpaceDN w:val="0"/>
        <w:adjustRightInd w:val="0"/>
        <w:spacing w:after="0" w:line="240" w:lineRule="auto"/>
        <w:rPr>
          <w:rFonts w:cs="Helvetica"/>
        </w:rPr>
      </w:pPr>
    </w:p>
    <w:p w14:paraId="736E51BA" w14:textId="6CF53C45" w:rsidR="00FD4B86" w:rsidRPr="001252E0" w:rsidRDefault="00FD4B86" w:rsidP="00FD4B86">
      <w:pPr>
        <w:widowControl w:val="0"/>
        <w:autoSpaceDE w:val="0"/>
        <w:autoSpaceDN w:val="0"/>
        <w:adjustRightInd w:val="0"/>
        <w:spacing w:after="0" w:line="240" w:lineRule="auto"/>
        <w:ind w:left="2160"/>
        <w:rPr>
          <w:rFonts w:cs="Helvetica"/>
        </w:rPr>
      </w:pPr>
      <w:r w:rsidRPr="001252E0">
        <w:rPr>
          <w:rFonts w:cs="Helvetica"/>
        </w:rPr>
        <w:t xml:space="preserve">Reed, S., Conner, A. M., Fox, R., Karunakaran, S., Heid, M. K., </w:t>
      </w:r>
      <w:r w:rsidRPr="00FD4B86">
        <w:rPr>
          <w:rFonts w:cs="Helvetica"/>
          <w:b/>
        </w:rPr>
        <w:t>McClintock, E.</w:t>
      </w:r>
      <w:r w:rsidRPr="001252E0">
        <w:rPr>
          <w:rFonts w:cs="Helvetica"/>
        </w:rPr>
        <w:t xml:space="preserve">, </w:t>
      </w:r>
      <w:r w:rsidRPr="00FD4B86">
        <w:rPr>
          <w:rFonts w:cs="Helvetica"/>
        </w:rPr>
        <w:t>Johnson, H.,</w:t>
      </w:r>
      <w:r w:rsidRPr="001252E0">
        <w:rPr>
          <w:rFonts w:cs="Helvetica"/>
        </w:rPr>
        <w:t xml:space="preserve"> Edenfield, K., Kilpatrick, J., &amp; Gold, E. (2015). Summing the natural numbers: Situation 4 from the MACMTL-CPTM situations project. In M. K. Heid, P. S. Wilson, with G. W. Blume (Eds.), </w:t>
      </w:r>
      <w:r w:rsidRPr="001252E0">
        <w:rPr>
          <w:rFonts w:cs="Helvetica"/>
          <w:i/>
          <w:iCs/>
        </w:rPr>
        <w:t>Mathematical understanding for secondary teaching: A framework and classroom-based situations</w:t>
      </w:r>
      <w:r w:rsidRPr="001252E0">
        <w:rPr>
          <w:rFonts w:cs="Helvetica"/>
        </w:rPr>
        <w:t xml:space="preserve"> (pp. 121-133). Charlotte, NC: Information Age Publishing</w:t>
      </w:r>
      <w:r w:rsidR="002D458C">
        <w:rPr>
          <w:rFonts w:cs="Helvetica"/>
        </w:rPr>
        <w:t>.</w:t>
      </w:r>
    </w:p>
    <w:p w14:paraId="0B666AB1" w14:textId="77777777" w:rsidR="00FD4B86" w:rsidRPr="000C5630" w:rsidRDefault="00FD4B86" w:rsidP="0004465A">
      <w:pPr>
        <w:widowControl w:val="0"/>
        <w:autoSpaceDE w:val="0"/>
        <w:autoSpaceDN w:val="0"/>
        <w:adjustRightInd w:val="0"/>
        <w:spacing w:after="0" w:line="240" w:lineRule="auto"/>
        <w:rPr>
          <w:rFonts w:cs="Helvetica"/>
        </w:rPr>
      </w:pPr>
    </w:p>
    <w:p w14:paraId="4AAD7E0F" w14:textId="171608BF" w:rsidR="00FE7B31" w:rsidRDefault="003F72D7" w:rsidP="00B13D62">
      <w:pPr>
        <w:widowControl w:val="0"/>
        <w:autoSpaceDE w:val="0"/>
        <w:autoSpaceDN w:val="0"/>
        <w:adjustRightInd w:val="0"/>
        <w:spacing w:after="0" w:line="240" w:lineRule="auto"/>
        <w:ind w:left="2160"/>
        <w:rPr>
          <w:rFonts w:cs="Helvetica"/>
        </w:rPr>
      </w:pPr>
      <w:r w:rsidRPr="000C5630">
        <w:rPr>
          <w:rFonts w:cs="Helvetica"/>
        </w:rPr>
        <w:t xml:space="preserve">Tillema, E., </w:t>
      </w:r>
      <w:r w:rsidRPr="00B13D62">
        <w:rPr>
          <w:rFonts w:cs="Helvetica"/>
          <w:b/>
        </w:rPr>
        <w:t>McClintock, E.</w:t>
      </w:r>
      <w:r w:rsidRPr="000C5630">
        <w:rPr>
          <w:rFonts w:cs="Helvetica"/>
        </w:rPr>
        <w:t xml:space="preserve">, Heid, M. K., </w:t>
      </w:r>
      <w:r w:rsidRPr="00B13D62">
        <w:rPr>
          <w:rFonts w:cs="Helvetica"/>
        </w:rPr>
        <w:t>&amp; Johnson, H. (</w:t>
      </w:r>
      <w:r w:rsidR="0084454E">
        <w:rPr>
          <w:rFonts w:cs="Helvetica"/>
        </w:rPr>
        <w:t>2015</w:t>
      </w:r>
      <w:r w:rsidRPr="000C5630">
        <w:rPr>
          <w:rFonts w:cs="Helvetica"/>
        </w:rPr>
        <w:t xml:space="preserve">). Properties of </w:t>
      </w:r>
      <w:r w:rsidRPr="000C5630">
        <w:rPr>
          <w:rFonts w:cs="Helvetica"/>
          <w:i/>
        </w:rPr>
        <w:t>i</w:t>
      </w:r>
      <w:r w:rsidRPr="000C5630">
        <w:rPr>
          <w:rFonts w:cs="Helvetica"/>
        </w:rPr>
        <w:t xml:space="preserve"> and other complex numbers</w:t>
      </w:r>
      <w:r w:rsidR="00863A87">
        <w:rPr>
          <w:rFonts w:cs="Helvetica"/>
        </w:rPr>
        <w:t xml:space="preserve">: Situation 8 </w:t>
      </w:r>
      <w:r w:rsidR="00863A87" w:rsidRPr="001252E0">
        <w:rPr>
          <w:rFonts w:cs="Helvetica"/>
        </w:rPr>
        <w:t xml:space="preserve">from the MACMTL-CPTM situations project. In M. K. Heid, P. S. Wilson, with G. W. Blume (Eds.), </w:t>
      </w:r>
      <w:r w:rsidR="00863A87" w:rsidRPr="001252E0">
        <w:rPr>
          <w:rFonts w:cs="Helvetica"/>
          <w:i/>
          <w:iCs/>
        </w:rPr>
        <w:t>Mathematical understanding for secondary teaching: A framework and classroom-based situations</w:t>
      </w:r>
      <w:r w:rsidR="00863A87" w:rsidRPr="001252E0">
        <w:rPr>
          <w:rFonts w:cs="Helvetica"/>
        </w:rPr>
        <w:t xml:space="preserve"> (pp. 171-177). Charlotte, NC: Information Age Publishing</w:t>
      </w:r>
      <w:r w:rsidR="002D458C">
        <w:rPr>
          <w:rFonts w:cs="Helvetica"/>
        </w:rPr>
        <w:t>.</w:t>
      </w:r>
      <w:r w:rsidRPr="000C5630">
        <w:rPr>
          <w:rFonts w:cs="Helvetica"/>
        </w:rPr>
        <w:t xml:space="preserve"> </w:t>
      </w:r>
    </w:p>
    <w:p w14:paraId="705479C0" w14:textId="77777777" w:rsidR="00FD4B86" w:rsidRDefault="00FD4B86" w:rsidP="00B13D62">
      <w:pPr>
        <w:widowControl w:val="0"/>
        <w:autoSpaceDE w:val="0"/>
        <w:autoSpaceDN w:val="0"/>
        <w:adjustRightInd w:val="0"/>
        <w:spacing w:after="0" w:line="240" w:lineRule="auto"/>
        <w:ind w:left="2160"/>
        <w:rPr>
          <w:rFonts w:cs="Helvetica"/>
        </w:rPr>
      </w:pPr>
    </w:p>
    <w:p w14:paraId="04048BCD" w14:textId="435A4D98" w:rsidR="00FD4B86" w:rsidRPr="001252E0" w:rsidRDefault="00FD4B86" w:rsidP="00FD4B86">
      <w:pPr>
        <w:widowControl w:val="0"/>
        <w:autoSpaceDE w:val="0"/>
        <w:autoSpaceDN w:val="0"/>
        <w:adjustRightInd w:val="0"/>
        <w:spacing w:after="0" w:line="240" w:lineRule="auto"/>
        <w:ind w:left="2160"/>
        <w:rPr>
          <w:rFonts w:cs="Helvetica"/>
        </w:rPr>
      </w:pPr>
      <w:r w:rsidRPr="001252E0">
        <w:rPr>
          <w:rFonts w:cs="Helvetica"/>
        </w:rPr>
        <w:t>Wilson, P</w:t>
      </w:r>
      <w:r w:rsidRPr="00FD4B86">
        <w:rPr>
          <w:rFonts w:cs="Helvetica"/>
        </w:rPr>
        <w:t>., Johnson, H.,</w:t>
      </w:r>
      <w:r w:rsidRPr="001252E0">
        <w:rPr>
          <w:rFonts w:cs="Helvetica"/>
        </w:rPr>
        <w:t xml:space="preserve"> Shimizu, J., </w:t>
      </w:r>
      <w:r w:rsidRPr="009B2B20">
        <w:rPr>
          <w:rFonts w:cs="Helvetica"/>
          <w:b/>
        </w:rPr>
        <w:t>McClintock, E.</w:t>
      </w:r>
      <w:r w:rsidRPr="001252E0">
        <w:rPr>
          <w:rFonts w:cs="Helvetica"/>
        </w:rPr>
        <w:t xml:space="preserve">, Zbiek, R. M., Heid, M. K., Grady, M., &amp; Konnova, S. (2015). Calculation of sine: Situation 35 from the MACMTL-CPTM situations project. In M. K. Heid, P. S. Wilson, with G. W. Blume (Eds.), </w:t>
      </w:r>
      <w:r w:rsidRPr="001252E0">
        <w:rPr>
          <w:rFonts w:cs="Helvetica"/>
          <w:i/>
          <w:iCs/>
        </w:rPr>
        <w:t>Mathematical understanding for secondary teaching: A framework and classroom-based situations</w:t>
      </w:r>
      <w:r w:rsidRPr="001252E0">
        <w:rPr>
          <w:rFonts w:cs="Helvetica"/>
        </w:rPr>
        <w:t xml:space="preserve"> (pp. 377-384). Charlotte, NC: Information Age Publishing</w:t>
      </w:r>
      <w:r w:rsidR="002D458C">
        <w:rPr>
          <w:rFonts w:cs="Helvetica"/>
        </w:rPr>
        <w:t>.</w:t>
      </w:r>
    </w:p>
    <w:p w14:paraId="3D73F0F1" w14:textId="77777777" w:rsidR="00FD4B86" w:rsidRPr="001252E0" w:rsidRDefault="00FD4B86" w:rsidP="00FD4B86">
      <w:pPr>
        <w:widowControl w:val="0"/>
        <w:autoSpaceDE w:val="0"/>
        <w:autoSpaceDN w:val="0"/>
        <w:adjustRightInd w:val="0"/>
        <w:spacing w:after="0" w:line="240" w:lineRule="auto"/>
        <w:ind w:left="1440" w:hanging="1440"/>
        <w:rPr>
          <w:rFonts w:cs="Helvetica"/>
        </w:rPr>
      </w:pPr>
    </w:p>
    <w:p w14:paraId="23EF339B" w14:textId="7A5FA19F" w:rsidR="00FD4B86" w:rsidRPr="001252E0" w:rsidRDefault="00FD4B86" w:rsidP="00FD4B86">
      <w:pPr>
        <w:widowControl w:val="0"/>
        <w:autoSpaceDE w:val="0"/>
        <w:autoSpaceDN w:val="0"/>
        <w:adjustRightInd w:val="0"/>
        <w:spacing w:after="0" w:line="240" w:lineRule="auto"/>
        <w:ind w:left="2160"/>
        <w:rPr>
          <w:rFonts w:cs="Helvetica"/>
        </w:rPr>
      </w:pPr>
      <w:r w:rsidRPr="001252E0">
        <w:rPr>
          <w:rFonts w:cs="Helvetica"/>
        </w:rPr>
        <w:t xml:space="preserve">Zbiek, R. M., Heid, M. K., Fox, R., Edenfield, K., Kilpatrick, J., </w:t>
      </w:r>
      <w:r w:rsidRPr="009B2B20">
        <w:rPr>
          <w:rFonts w:cs="Helvetica"/>
          <w:b/>
        </w:rPr>
        <w:t>McClintock, E.</w:t>
      </w:r>
      <w:r w:rsidRPr="001252E0">
        <w:rPr>
          <w:rFonts w:cs="Helvetica"/>
        </w:rPr>
        <w:t xml:space="preserve">, </w:t>
      </w:r>
      <w:r w:rsidRPr="009B2B20">
        <w:rPr>
          <w:rFonts w:cs="Helvetica"/>
        </w:rPr>
        <w:t>Johnson, H.,</w:t>
      </w:r>
      <w:r w:rsidRPr="001252E0">
        <w:rPr>
          <w:rFonts w:cs="Helvetica"/>
        </w:rPr>
        <w:t xml:space="preserve"> &amp; Gleason, B. (2015). Inverse trigonometric functions: Situation 16 from the MACMTL-CPTM situations project. In M. K. Heid, P. S. Wilson, with G. W. Blume (Eds.), </w:t>
      </w:r>
      <w:r w:rsidRPr="001252E0">
        <w:rPr>
          <w:rFonts w:cs="Helvetica"/>
          <w:i/>
          <w:iCs/>
        </w:rPr>
        <w:t>Mathematical understanding for secondary teaching: A framework and classroom-based situations</w:t>
      </w:r>
      <w:r w:rsidRPr="001252E0">
        <w:rPr>
          <w:rFonts w:cs="Helvetica"/>
        </w:rPr>
        <w:t xml:space="preserve"> (pp. 217-222). Charlotte, NC: Information Age Publishing</w:t>
      </w:r>
      <w:r w:rsidR="002D458C">
        <w:rPr>
          <w:rFonts w:cs="Helvetica"/>
        </w:rPr>
        <w:t>.</w:t>
      </w:r>
    </w:p>
    <w:p w14:paraId="13C315B7" w14:textId="4B9FC68B" w:rsidR="00A12F25" w:rsidRDefault="00A12F25" w:rsidP="00B13D62">
      <w:pPr>
        <w:spacing w:after="0" w:line="240" w:lineRule="auto"/>
      </w:pPr>
    </w:p>
    <w:p w14:paraId="40024AF7" w14:textId="214D782E" w:rsidR="00636A24" w:rsidRPr="00AB0F13" w:rsidRDefault="00AB0F13" w:rsidP="00636A24">
      <w:pPr>
        <w:pStyle w:val="NoSpacing"/>
        <w:outlineLvl w:val="0"/>
        <w:rPr>
          <w:b/>
        </w:rPr>
      </w:pPr>
      <w:r w:rsidRPr="00AB0F13">
        <w:rPr>
          <w:b/>
        </w:rPr>
        <w:t xml:space="preserve">PEER REVIEWED </w:t>
      </w:r>
      <w:r w:rsidR="00636A24" w:rsidRPr="00AB0F13">
        <w:rPr>
          <w:b/>
        </w:rPr>
        <w:t>PRESENTATIONS</w:t>
      </w:r>
      <w:r w:rsidRPr="00AB0F13">
        <w:rPr>
          <w:b/>
        </w:rPr>
        <w:t xml:space="preserve"> AT MEETINGS/CONFERENCES</w:t>
      </w:r>
    </w:p>
    <w:p w14:paraId="4D309DF9" w14:textId="77777777" w:rsidR="00EF00A9" w:rsidRDefault="00EF00A9" w:rsidP="00AB0F13">
      <w:pPr>
        <w:widowControl w:val="0"/>
        <w:autoSpaceDE w:val="0"/>
        <w:autoSpaceDN w:val="0"/>
        <w:adjustRightInd w:val="0"/>
        <w:spacing w:after="0" w:line="240" w:lineRule="auto"/>
        <w:rPr>
          <w:rFonts w:cs="Helvetica"/>
          <w:i/>
        </w:rPr>
      </w:pPr>
    </w:p>
    <w:p w14:paraId="5F65C9CF" w14:textId="0D09EA37" w:rsidR="00DE280A" w:rsidRDefault="00DE280A" w:rsidP="00636A24">
      <w:pPr>
        <w:widowControl w:val="0"/>
        <w:autoSpaceDE w:val="0"/>
        <w:autoSpaceDN w:val="0"/>
        <w:adjustRightInd w:val="0"/>
        <w:spacing w:after="0" w:line="240" w:lineRule="auto"/>
        <w:ind w:left="2160" w:hanging="2160"/>
        <w:rPr>
          <w:rFonts w:cs="Helvetica"/>
        </w:rPr>
      </w:pPr>
      <w:r>
        <w:rPr>
          <w:rFonts w:cs="Helvetica"/>
        </w:rPr>
        <w:t>2019</w:t>
      </w:r>
      <w:r>
        <w:rPr>
          <w:rFonts w:cs="Helvetica"/>
        </w:rPr>
        <w:tab/>
        <w:t xml:space="preserve">Johnson, H. L., </w:t>
      </w:r>
      <w:r w:rsidRPr="002D458C">
        <w:rPr>
          <w:rFonts w:cs="Helvetica"/>
          <w:b/>
        </w:rPr>
        <w:t>McClintock, E.</w:t>
      </w:r>
      <w:r w:rsidR="00F94762">
        <w:rPr>
          <w:rFonts w:cs="Helvetica"/>
        </w:rPr>
        <w:t>, &amp; Gardner, A. (2019</w:t>
      </w:r>
      <w:r>
        <w:rPr>
          <w:rFonts w:cs="Helvetica"/>
        </w:rPr>
        <w:t>).</w:t>
      </w:r>
      <w:r w:rsidR="00F07450">
        <w:rPr>
          <w:rFonts w:cs="Helvetica"/>
        </w:rPr>
        <w:t xml:space="preserve"> </w:t>
      </w:r>
      <w:r w:rsidR="002D458C">
        <w:rPr>
          <w:rFonts w:cs="Helvetica"/>
        </w:rPr>
        <w:t xml:space="preserve">Leveraging difference to promote students’ conceptions of graphs as representing relationships between quantities. </w:t>
      </w:r>
      <w:r w:rsidR="002D458C" w:rsidRPr="006A7E41">
        <w:rPr>
          <w:rFonts w:cs="Helvetica"/>
          <w:i/>
          <w:iCs/>
        </w:rPr>
        <w:t>1</w:t>
      </w:r>
      <w:r w:rsidR="002D458C">
        <w:rPr>
          <w:rFonts w:cs="Helvetica"/>
          <w:i/>
          <w:iCs/>
        </w:rPr>
        <w:t>1</w:t>
      </w:r>
      <w:r w:rsidR="002D458C" w:rsidRPr="006A7E41">
        <w:rPr>
          <w:rFonts w:cs="Helvetica"/>
          <w:i/>
          <w:iCs/>
          <w:vertAlign w:val="superscript"/>
        </w:rPr>
        <w:t>th</w:t>
      </w:r>
      <w:r w:rsidR="002D458C" w:rsidRPr="006A7E41">
        <w:rPr>
          <w:rFonts w:cs="Helvetica"/>
          <w:i/>
          <w:iCs/>
        </w:rPr>
        <w:t xml:space="preserve"> Congress of European Research in Mathematics Education, </w:t>
      </w:r>
      <w:r w:rsidR="002D458C">
        <w:rPr>
          <w:rFonts w:cs="Helvetica"/>
          <w:iCs/>
        </w:rPr>
        <w:t>Utrecht, Netherlands.</w:t>
      </w:r>
    </w:p>
    <w:p w14:paraId="42CB9C52" w14:textId="77777777" w:rsidR="00952800" w:rsidRDefault="00952800" w:rsidP="00636A24">
      <w:pPr>
        <w:widowControl w:val="0"/>
        <w:autoSpaceDE w:val="0"/>
        <w:autoSpaceDN w:val="0"/>
        <w:adjustRightInd w:val="0"/>
        <w:spacing w:after="0" w:line="240" w:lineRule="auto"/>
        <w:ind w:left="2160" w:hanging="2160"/>
        <w:rPr>
          <w:rFonts w:cs="Helvetica"/>
        </w:rPr>
      </w:pPr>
    </w:p>
    <w:p w14:paraId="1838DEFE" w14:textId="357FF958" w:rsidR="00952800" w:rsidRDefault="00952800" w:rsidP="00636A24">
      <w:pPr>
        <w:widowControl w:val="0"/>
        <w:autoSpaceDE w:val="0"/>
        <w:autoSpaceDN w:val="0"/>
        <w:adjustRightInd w:val="0"/>
        <w:spacing w:after="0" w:line="240" w:lineRule="auto"/>
        <w:ind w:left="2160" w:hanging="2160"/>
        <w:rPr>
          <w:rFonts w:cs="Helvetica"/>
        </w:rPr>
      </w:pPr>
      <w:r>
        <w:rPr>
          <w:rFonts w:cs="Helvetica"/>
        </w:rPr>
        <w:tab/>
        <w:t xml:space="preserve">Johnson, H. L., </w:t>
      </w:r>
      <w:r w:rsidRPr="002D458C">
        <w:rPr>
          <w:rFonts w:cs="Helvetica"/>
          <w:b/>
        </w:rPr>
        <w:t>McClintock, E.</w:t>
      </w:r>
      <w:r>
        <w:rPr>
          <w:rFonts w:cs="Helvetica"/>
        </w:rPr>
        <w:t>, &amp; Gardner, A.</w:t>
      </w:r>
      <w:r w:rsidR="00F94762">
        <w:rPr>
          <w:rFonts w:cs="Helvetica"/>
        </w:rPr>
        <w:t xml:space="preserve"> (2019</w:t>
      </w:r>
      <w:r>
        <w:rPr>
          <w:rFonts w:cs="Helvetica"/>
        </w:rPr>
        <w:t>).</w:t>
      </w:r>
      <w:r w:rsidR="002D458C">
        <w:rPr>
          <w:rFonts w:cs="Helvetica"/>
        </w:rPr>
        <w:t xml:space="preserve"> Locally integrating theories to investigate students’ transfer of mathematical reasoning. </w:t>
      </w:r>
      <w:r w:rsidR="002D458C" w:rsidRPr="006A7E41">
        <w:rPr>
          <w:rFonts w:cs="Helvetica"/>
          <w:i/>
          <w:iCs/>
        </w:rPr>
        <w:t>1</w:t>
      </w:r>
      <w:r w:rsidR="002D458C">
        <w:rPr>
          <w:rFonts w:cs="Helvetica"/>
          <w:i/>
          <w:iCs/>
        </w:rPr>
        <w:t>1</w:t>
      </w:r>
      <w:r w:rsidR="002D458C" w:rsidRPr="006A7E41">
        <w:rPr>
          <w:rFonts w:cs="Helvetica"/>
          <w:i/>
          <w:iCs/>
          <w:vertAlign w:val="superscript"/>
        </w:rPr>
        <w:t>th</w:t>
      </w:r>
      <w:r w:rsidR="002D458C" w:rsidRPr="006A7E41">
        <w:rPr>
          <w:rFonts w:cs="Helvetica"/>
          <w:i/>
          <w:iCs/>
        </w:rPr>
        <w:t xml:space="preserve"> Congress of European Research in Mathematics Education, </w:t>
      </w:r>
      <w:r w:rsidR="002D458C">
        <w:rPr>
          <w:rFonts w:cs="Helvetica"/>
          <w:iCs/>
        </w:rPr>
        <w:t>Utrecht</w:t>
      </w:r>
      <w:r w:rsidR="002D458C" w:rsidRPr="00DE280A">
        <w:rPr>
          <w:rFonts w:cs="Helvetica"/>
          <w:iCs/>
        </w:rPr>
        <w:t xml:space="preserve">, </w:t>
      </w:r>
      <w:r w:rsidR="002D458C">
        <w:rPr>
          <w:rFonts w:cs="Helvetica"/>
          <w:iCs/>
        </w:rPr>
        <w:t>Netherlands.</w:t>
      </w:r>
    </w:p>
    <w:p w14:paraId="21B414E9" w14:textId="77777777" w:rsidR="00DE280A" w:rsidRDefault="00DE280A" w:rsidP="00636A24">
      <w:pPr>
        <w:widowControl w:val="0"/>
        <w:autoSpaceDE w:val="0"/>
        <w:autoSpaceDN w:val="0"/>
        <w:adjustRightInd w:val="0"/>
        <w:spacing w:after="0" w:line="240" w:lineRule="auto"/>
        <w:ind w:left="2160" w:hanging="2160"/>
        <w:rPr>
          <w:rFonts w:cs="Helvetica"/>
        </w:rPr>
      </w:pPr>
    </w:p>
    <w:p w14:paraId="161E908D" w14:textId="5F76D896" w:rsidR="00EF00A9" w:rsidRDefault="00EF00A9" w:rsidP="00636A24">
      <w:pPr>
        <w:widowControl w:val="0"/>
        <w:autoSpaceDE w:val="0"/>
        <w:autoSpaceDN w:val="0"/>
        <w:adjustRightInd w:val="0"/>
        <w:spacing w:after="0" w:line="240" w:lineRule="auto"/>
        <w:ind w:left="2160" w:hanging="2160"/>
        <w:rPr>
          <w:rFonts w:cs="Helvetica"/>
          <w:i/>
        </w:rPr>
      </w:pPr>
      <w:r>
        <w:rPr>
          <w:rFonts w:cs="Helvetica"/>
        </w:rPr>
        <w:t>2018</w:t>
      </w:r>
      <w:r>
        <w:rPr>
          <w:rFonts w:cs="Helvetica"/>
        </w:rPr>
        <w:tab/>
      </w:r>
      <w:r>
        <w:t xml:space="preserve">Johnson, H. L., </w:t>
      </w:r>
      <w:r w:rsidRPr="006A7E41">
        <w:rPr>
          <w:rFonts w:cs="Helvetica"/>
          <w:b/>
        </w:rPr>
        <w:t>McClintock, E</w:t>
      </w:r>
      <w:r>
        <w:rPr>
          <w:rFonts w:cs="Helvetica"/>
        </w:rPr>
        <w:t xml:space="preserve">., Kalir, J., &amp; Olson, G. (2018, February). Networking theories to design covariation techtivities for college algebra students. </w:t>
      </w:r>
      <w:r w:rsidRPr="00EF00A9">
        <w:rPr>
          <w:rFonts w:cs="Helvetica"/>
          <w:i/>
        </w:rPr>
        <w:t xml:space="preserve">Conference on Research in Undergraduate Mathematics Education, </w:t>
      </w:r>
      <w:r w:rsidRPr="00DE280A">
        <w:rPr>
          <w:rFonts w:cs="Helvetica"/>
        </w:rPr>
        <w:t>San Diego, CA</w:t>
      </w:r>
      <w:r w:rsidR="00DE280A">
        <w:rPr>
          <w:rFonts w:cs="Helvetica"/>
        </w:rPr>
        <w:t>.</w:t>
      </w:r>
    </w:p>
    <w:p w14:paraId="5D293BE9" w14:textId="77777777" w:rsidR="00EF00A9" w:rsidRPr="00EF00A9" w:rsidRDefault="00EF00A9" w:rsidP="00636A24">
      <w:pPr>
        <w:widowControl w:val="0"/>
        <w:autoSpaceDE w:val="0"/>
        <w:autoSpaceDN w:val="0"/>
        <w:adjustRightInd w:val="0"/>
        <w:spacing w:after="0" w:line="240" w:lineRule="auto"/>
        <w:ind w:left="2160" w:hanging="2160"/>
      </w:pPr>
    </w:p>
    <w:p w14:paraId="23BF796F" w14:textId="3EDA803F" w:rsidR="003C68FE" w:rsidRDefault="003C68FE" w:rsidP="00636A24">
      <w:pPr>
        <w:widowControl w:val="0"/>
        <w:autoSpaceDE w:val="0"/>
        <w:autoSpaceDN w:val="0"/>
        <w:adjustRightInd w:val="0"/>
        <w:spacing w:after="0" w:line="240" w:lineRule="auto"/>
        <w:ind w:left="2160" w:hanging="2160"/>
        <w:rPr>
          <w:rFonts w:cs="Helvetica"/>
          <w:i/>
          <w:iCs/>
        </w:rPr>
      </w:pPr>
      <w:r>
        <w:t>2017</w:t>
      </w:r>
      <w:r>
        <w:tab/>
      </w:r>
      <w:r w:rsidRPr="006A7E41">
        <w:rPr>
          <w:rFonts w:cs="Helvetica"/>
        </w:rPr>
        <w:t xml:space="preserve">Johnson, H. L., </w:t>
      </w:r>
      <w:r w:rsidRPr="006A7E41">
        <w:rPr>
          <w:rFonts w:cs="Helvetica"/>
          <w:b/>
        </w:rPr>
        <w:t>McClintock, E</w:t>
      </w:r>
      <w:r w:rsidRPr="006A7E41">
        <w:rPr>
          <w:rFonts w:cs="Helvetica"/>
        </w:rPr>
        <w:t>., Hornbein, P., Gardner, A., &amp; Grieser, D. (</w:t>
      </w:r>
      <w:r>
        <w:rPr>
          <w:rFonts w:cs="Helvetica"/>
        </w:rPr>
        <w:t>2017, February</w:t>
      </w:r>
      <w:r w:rsidRPr="006A7E41">
        <w:rPr>
          <w:rFonts w:cs="Helvetica"/>
        </w:rPr>
        <w:t>). When a critica</w:t>
      </w:r>
      <w:r>
        <w:rPr>
          <w:rFonts w:cs="Helvetica"/>
        </w:rPr>
        <w:t xml:space="preserve">l aspect is a conception: Using </w:t>
      </w:r>
      <w:r w:rsidRPr="006A7E41">
        <w:rPr>
          <w:rFonts w:cs="Helvetica"/>
        </w:rPr>
        <w:t xml:space="preserve">multiple theories to design dynamic computer environments and tasks to foster students’ discernment of covariation. </w:t>
      </w:r>
      <w:r w:rsidRPr="006A7E41">
        <w:rPr>
          <w:rFonts w:cs="Helvetica"/>
          <w:i/>
          <w:iCs/>
        </w:rPr>
        <w:t>10</w:t>
      </w:r>
      <w:r w:rsidRPr="006A7E41">
        <w:rPr>
          <w:rFonts w:cs="Helvetica"/>
          <w:i/>
          <w:iCs/>
          <w:vertAlign w:val="superscript"/>
        </w:rPr>
        <w:t>th</w:t>
      </w:r>
      <w:r w:rsidRPr="006A7E41">
        <w:rPr>
          <w:rFonts w:cs="Helvetica"/>
          <w:i/>
          <w:iCs/>
        </w:rPr>
        <w:t xml:space="preserve"> Congress of European Research in Mathematics Education, </w:t>
      </w:r>
      <w:r w:rsidRPr="00DE280A">
        <w:rPr>
          <w:rFonts w:cs="Helvetica"/>
          <w:iCs/>
        </w:rPr>
        <w:t>Dublin, Ireland</w:t>
      </w:r>
      <w:r w:rsidR="00DE280A">
        <w:rPr>
          <w:rFonts w:cs="Helvetica"/>
          <w:iCs/>
        </w:rPr>
        <w:t>.</w:t>
      </w:r>
    </w:p>
    <w:p w14:paraId="5F923646" w14:textId="77777777" w:rsidR="003C68FE" w:rsidRDefault="003C68FE" w:rsidP="00636A24">
      <w:pPr>
        <w:widowControl w:val="0"/>
        <w:autoSpaceDE w:val="0"/>
        <w:autoSpaceDN w:val="0"/>
        <w:adjustRightInd w:val="0"/>
        <w:spacing w:after="0" w:line="240" w:lineRule="auto"/>
        <w:ind w:left="2160" w:hanging="2160"/>
      </w:pPr>
    </w:p>
    <w:p w14:paraId="1AFCEA04" w14:textId="1CC670E2" w:rsidR="00636A24" w:rsidRDefault="00636A24" w:rsidP="00636A24">
      <w:pPr>
        <w:widowControl w:val="0"/>
        <w:autoSpaceDE w:val="0"/>
        <w:autoSpaceDN w:val="0"/>
        <w:adjustRightInd w:val="0"/>
        <w:spacing w:after="0" w:line="240" w:lineRule="auto"/>
        <w:ind w:left="2160" w:hanging="2160"/>
      </w:pPr>
      <w:r>
        <w:t>2016</w:t>
      </w:r>
      <w:r>
        <w:tab/>
      </w:r>
      <w:r w:rsidRPr="00B13D62">
        <w:rPr>
          <w:rFonts w:ascii="Calibri" w:hAnsi="Calibri" w:cs="Calibri"/>
          <w:bCs/>
        </w:rPr>
        <w:t>Johnson, H. L.</w:t>
      </w:r>
      <w:r w:rsidRPr="00B13D62">
        <w:rPr>
          <w:rFonts w:ascii="Calibri" w:hAnsi="Calibri" w:cs="Calibri"/>
        </w:rPr>
        <w:t xml:space="preserve">, </w:t>
      </w:r>
      <w:r w:rsidRPr="00B13D62">
        <w:rPr>
          <w:rFonts w:ascii="Calibri" w:hAnsi="Calibri" w:cs="Calibri"/>
          <w:b/>
        </w:rPr>
        <w:t>McClintock, E.</w:t>
      </w:r>
      <w:r w:rsidRPr="00B13D62">
        <w:rPr>
          <w:rFonts w:ascii="Calibri" w:hAnsi="Calibri" w:cs="Calibri"/>
        </w:rPr>
        <w:t>, &amp; Hor</w:t>
      </w:r>
      <w:r w:rsidR="005D4E3A">
        <w:rPr>
          <w:rFonts w:ascii="Calibri" w:hAnsi="Calibri" w:cs="Calibri"/>
        </w:rPr>
        <w:t>nbein, P. (2016, April</w:t>
      </w:r>
      <w:r w:rsidRPr="00B13D62">
        <w:rPr>
          <w:rFonts w:ascii="Calibri" w:hAnsi="Calibri" w:cs="Calibri"/>
        </w:rPr>
        <w:t xml:space="preserve">). Ferris wheels and filling bottles: Investigating a student’s transfer. </w:t>
      </w:r>
      <w:r w:rsidRPr="00B13D62">
        <w:rPr>
          <w:rFonts w:ascii="Calibri" w:hAnsi="Calibri" w:cs="Calibri"/>
          <w:i/>
          <w:iCs/>
        </w:rPr>
        <w:t>National Council of Teachers of Mathematics’ Annual Research Meeting</w:t>
      </w:r>
      <w:r w:rsidRPr="00B13D62">
        <w:rPr>
          <w:rFonts w:ascii="Calibri" w:hAnsi="Calibri" w:cs="Calibri"/>
        </w:rPr>
        <w:t>, San Francisco, CA. </w:t>
      </w:r>
    </w:p>
    <w:p w14:paraId="73AA6B19" w14:textId="77777777" w:rsidR="00636A24" w:rsidRDefault="00636A24" w:rsidP="00636A24">
      <w:pPr>
        <w:widowControl w:val="0"/>
        <w:autoSpaceDE w:val="0"/>
        <w:autoSpaceDN w:val="0"/>
        <w:adjustRightInd w:val="0"/>
        <w:spacing w:after="0" w:line="240" w:lineRule="auto"/>
        <w:ind w:left="2160" w:hanging="2160"/>
      </w:pPr>
    </w:p>
    <w:p w14:paraId="7B57AF8C" w14:textId="63C01DF1" w:rsidR="00636A24" w:rsidRPr="00171112" w:rsidRDefault="00636A24" w:rsidP="00636A24">
      <w:pPr>
        <w:widowControl w:val="0"/>
        <w:autoSpaceDE w:val="0"/>
        <w:autoSpaceDN w:val="0"/>
        <w:adjustRightInd w:val="0"/>
        <w:spacing w:after="0" w:line="240" w:lineRule="auto"/>
        <w:ind w:left="2160" w:hanging="2160"/>
        <w:rPr>
          <w:rFonts w:cs="Times New Roman"/>
        </w:rPr>
      </w:pPr>
      <w:r>
        <w:t>2015</w:t>
      </w:r>
      <w:r>
        <w:tab/>
      </w:r>
      <w:r>
        <w:rPr>
          <w:rFonts w:cs="Times New Roman"/>
          <w:b/>
        </w:rPr>
        <w:t>McClintock, E.</w:t>
      </w:r>
      <w:r>
        <w:rPr>
          <w:rFonts w:cs="Times New Roman"/>
        </w:rPr>
        <w:t xml:space="preserve"> (2015, September). Common Core Math: Activities that support students’ development of key early number knowledge, skill, and understanding. </w:t>
      </w:r>
      <w:r w:rsidR="007473B3" w:rsidRPr="007473B3">
        <w:rPr>
          <w:rFonts w:cs="Times New Roman"/>
          <w:i/>
        </w:rPr>
        <w:t>Association for Supervision and Curriculum Development: Four Corners Regional Conference</w:t>
      </w:r>
      <w:r w:rsidR="007473B3">
        <w:rPr>
          <w:rFonts w:cs="Times New Roman"/>
        </w:rPr>
        <w:t>, Farmington, NM.</w:t>
      </w:r>
    </w:p>
    <w:p w14:paraId="00A56EBE" w14:textId="77777777" w:rsidR="00636A24" w:rsidRDefault="00636A24" w:rsidP="00636A24">
      <w:pPr>
        <w:widowControl w:val="0"/>
        <w:autoSpaceDE w:val="0"/>
        <w:autoSpaceDN w:val="0"/>
        <w:adjustRightInd w:val="0"/>
        <w:spacing w:after="0" w:line="240" w:lineRule="auto"/>
      </w:pPr>
    </w:p>
    <w:p w14:paraId="5F6E7E26" w14:textId="17F2D783" w:rsidR="00636A24" w:rsidRDefault="00636A24" w:rsidP="00636A24">
      <w:pPr>
        <w:widowControl w:val="0"/>
        <w:autoSpaceDE w:val="0"/>
        <w:autoSpaceDN w:val="0"/>
        <w:adjustRightInd w:val="0"/>
        <w:spacing w:after="0" w:line="240" w:lineRule="auto"/>
        <w:ind w:left="2160" w:hanging="2160"/>
      </w:pPr>
      <w:r>
        <w:t>2013</w:t>
      </w:r>
      <w:r>
        <w:tab/>
      </w:r>
      <w:r w:rsidRPr="00B13D62">
        <w:t xml:space="preserve">Johnson, H. L., </w:t>
      </w:r>
      <w:r w:rsidRPr="00B13D62">
        <w:rPr>
          <w:b/>
        </w:rPr>
        <w:t>McClintock, E.</w:t>
      </w:r>
      <w:r>
        <w:t>, &amp; Ahmed J.</w:t>
      </w:r>
      <w:r w:rsidRPr="0048422D">
        <w:t xml:space="preserve"> (</w:t>
      </w:r>
      <w:r>
        <w:t xml:space="preserve">2013, </w:t>
      </w:r>
      <w:r w:rsidRPr="00AD15EE">
        <w:t xml:space="preserve">September). </w:t>
      </w:r>
      <w:r w:rsidRPr="00AD15EE">
        <w:rPr>
          <w:rFonts w:ascii="Calibri" w:hAnsi="Calibri" w:cs="Calibri"/>
        </w:rPr>
        <w:t>Supporting students’ quantitative &amp; covariational reasoning: Designing &amp; implementing tasks linking dynamic animations and graphs</w:t>
      </w:r>
      <w:r w:rsidRPr="00AD15EE">
        <w:t xml:space="preserve">. </w:t>
      </w:r>
      <w:r w:rsidRPr="00AD15EE">
        <w:rPr>
          <w:i/>
        </w:rPr>
        <w:t xml:space="preserve">The 4th Realistic Mathematics Education Conference. </w:t>
      </w:r>
      <w:r w:rsidRPr="00AD15EE">
        <w:t>Boulder, CO.</w:t>
      </w:r>
    </w:p>
    <w:p w14:paraId="098D7B11" w14:textId="77777777" w:rsidR="00F94762" w:rsidRDefault="00F94762" w:rsidP="00636A24">
      <w:pPr>
        <w:widowControl w:val="0"/>
        <w:autoSpaceDE w:val="0"/>
        <w:autoSpaceDN w:val="0"/>
        <w:adjustRightInd w:val="0"/>
        <w:spacing w:after="0" w:line="240" w:lineRule="auto"/>
        <w:ind w:left="2160" w:hanging="2160"/>
      </w:pPr>
    </w:p>
    <w:p w14:paraId="4F0F3BC4" w14:textId="5D2A12BC" w:rsidR="00C218B3" w:rsidRPr="00F94762" w:rsidRDefault="00F94762" w:rsidP="00F94762">
      <w:pPr>
        <w:widowControl w:val="0"/>
        <w:autoSpaceDE w:val="0"/>
        <w:autoSpaceDN w:val="0"/>
        <w:adjustRightInd w:val="0"/>
        <w:spacing w:after="0" w:line="240" w:lineRule="auto"/>
        <w:ind w:left="2160" w:hanging="2160"/>
      </w:pPr>
      <w:r>
        <w:t>1997</w:t>
      </w:r>
      <w:r>
        <w:tab/>
        <w:t xml:space="preserve">Dana, N. F., Dobash L., Myers, J., Pirrone, J., </w:t>
      </w:r>
      <w:r w:rsidRPr="00F94762">
        <w:rPr>
          <w:b/>
        </w:rPr>
        <w:t>McClintock, E.</w:t>
      </w:r>
      <w:r>
        <w:t>, Fueyo, J. (1997, January). Actualizing the professional development school at the elementary and senior high levels: Promises, possibilities, and pitfalls. Poster presentation at the Holmes Partnership Meeting, St. Louis, MO.</w:t>
      </w:r>
    </w:p>
    <w:p w14:paraId="5A427C5A" w14:textId="77777777" w:rsidR="00636A24" w:rsidRPr="00111F62" w:rsidRDefault="00636A24" w:rsidP="00C218B3">
      <w:pPr>
        <w:widowControl w:val="0"/>
        <w:autoSpaceDE w:val="0"/>
        <w:autoSpaceDN w:val="0"/>
        <w:adjustRightInd w:val="0"/>
        <w:spacing w:after="0" w:line="240" w:lineRule="auto"/>
        <w:rPr>
          <w:rFonts w:ascii="Times" w:hAnsi="Times" w:cs="Times"/>
          <w:sz w:val="24"/>
          <w:szCs w:val="24"/>
        </w:rPr>
      </w:pPr>
    </w:p>
    <w:p w14:paraId="058D49D7" w14:textId="5C643164" w:rsidR="00CD0901" w:rsidRDefault="00640FFB" w:rsidP="00827D7B">
      <w:pPr>
        <w:pStyle w:val="NoSpacing"/>
        <w:outlineLvl w:val="0"/>
        <w:rPr>
          <w:b/>
        </w:rPr>
      </w:pPr>
      <w:r w:rsidRPr="00223870">
        <w:rPr>
          <w:b/>
        </w:rPr>
        <w:t>SEMINARS &amp; WORKSHOPS PRESENTED</w:t>
      </w:r>
      <w:r w:rsidR="00636A24">
        <w:rPr>
          <w:b/>
        </w:rPr>
        <w:t xml:space="preserve"> </w:t>
      </w:r>
    </w:p>
    <w:p w14:paraId="7F45C68A" w14:textId="77777777" w:rsidR="00115494" w:rsidRPr="00223870" w:rsidRDefault="00115494" w:rsidP="00827D7B">
      <w:pPr>
        <w:pStyle w:val="NoSpacing"/>
        <w:outlineLvl w:val="0"/>
        <w:rPr>
          <w:b/>
        </w:rPr>
      </w:pPr>
    </w:p>
    <w:p w14:paraId="660D1A0C" w14:textId="10F26D28" w:rsidR="00FD3959" w:rsidRDefault="00FD3959" w:rsidP="00636A24">
      <w:pPr>
        <w:pStyle w:val="NoSpacing"/>
        <w:ind w:left="2153" w:hanging="2160"/>
      </w:pPr>
      <w:r>
        <w:t>2019</w:t>
      </w:r>
      <w:r>
        <w:tab/>
        <w:t>McClintock, E. (2019, May). Task selection to support students’ emerging fraction knowledge. CU Denver, Denver, CO. (Half-day)</w:t>
      </w:r>
    </w:p>
    <w:p w14:paraId="55E78147" w14:textId="77777777" w:rsidR="00FD3959" w:rsidRDefault="00FD3959" w:rsidP="00636A24">
      <w:pPr>
        <w:pStyle w:val="NoSpacing"/>
        <w:ind w:left="2153" w:hanging="2160"/>
      </w:pPr>
    </w:p>
    <w:p w14:paraId="5AA3A9C2" w14:textId="11EC4D69" w:rsidR="002F7847" w:rsidRPr="00621FB1" w:rsidRDefault="002F7847" w:rsidP="00636A24">
      <w:pPr>
        <w:pStyle w:val="NoSpacing"/>
        <w:ind w:left="2153" w:hanging="2160"/>
      </w:pPr>
      <w:r w:rsidRPr="00611531">
        <w:t>2013</w:t>
      </w:r>
      <w:r w:rsidR="007A7C03">
        <w:t>-</w:t>
      </w:r>
      <w:r w:rsidR="002165DE">
        <w:t>Present</w:t>
      </w:r>
      <w:r w:rsidRPr="00611531">
        <w:tab/>
      </w:r>
      <w:r w:rsidR="00621FB1" w:rsidRPr="00611531">
        <w:tab/>
      </w:r>
      <w:r w:rsidR="00636A24" w:rsidRPr="00611531">
        <w:t>Seminars for alternat</w:t>
      </w:r>
      <w:r w:rsidR="00BA4724" w:rsidRPr="00611531">
        <w:t xml:space="preserve">ive licensure teachers </w:t>
      </w:r>
      <w:r w:rsidR="002165DE">
        <w:t>(2013-Present</w:t>
      </w:r>
      <w:r w:rsidR="00636A24" w:rsidRPr="00611531">
        <w:t xml:space="preserve">). </w:t>
      </w:r>
      <w:r w:rsidR="007A7C03">
        <w:t xml:space="preserve">On-going, monthly face-to-face, hybrid, and online sessions that support elementary, secondary, and special education teachers’ development in topics such as: Instructional Design for All Learners, </w:t>
      </w:r>
      <w:r w:rsidR="00EF00A9">
        <w:t xml:space="preserve">High Leverage Practices, </w:t>
      </w:r>
      <w:r w:rsidR="007A7C03">
        <w:t xml:space="preserve">Assessment, Unit Planning, Relationship-Driven Classrooms, </w:t>
      </w:r>
      <w:r w:rsidR="0070736B">
        <w:t xml:space="preserve">Culturally Responsive Pedagogy, </w:t>
      </w:r>
      <w:r w:rsidR="007A7C03">
        <w:t>and Literacy Instruction.</w:t>
      </w:r>
    </w:p>
    <w:p w14:paraId="1856639F" w14:textId="77777777" w:rsidR="00CD0901" w:rsidRPr="007C2037" w:rsidRDefault="00CD0901" w:rsidP="00827D7B">
      <w:pPr>
        <w:pStyle w:val="NoSpacing"/>
        <w:tabs>
          <w:tab w:val="left" w:pos="1440"/>
        </w:tabs>
        <w:ind w:left="1440" w:hanging="1447"/>
      </w:pPr>
    </w:p>
    <w:p w14:paraId="53B46EFC" w14:textId="36294BAB" w:rsidR="002F7847" w:rsidRPr="00621FB1" w:rsidRDefault="002F7847" w:rsidP="00621FB1">
      <w:pPr>
        <w:pStyle w:val="NoSpacing"/>
        <w:ind w:left="2160" w:hanging="2160"/>
      </w:pPr>
      <w:r>
        <w:t>2012</w:t>
      </w:r>
      <w:r w:rsidRPr="00211AF0">
        <w:tab/>
      </w:r>
      <w:r w:rsidR="00621FB1" w:rsidRPr="00621FB1">
        <w:t xml:space="preserve">Tzur, R., Johnson, H. L., </w:t>
      </w:r>
      <w:r w:rsidR="00621FB1" w:rsidRPr="00621FB1">
        <w:rPr>
          <w:b/>
        </w:rPr>
        <w:t>McClintock, E.</w:t>
      </w:r>
      <w:r w:rsidR="00621FB1" w:rsidRPr="00621FB1">
        <w:t>, Risley, R., &amp; King, K. (2012, January). Multiplicative reasoning for elementary</w:t>
      </w:r>
      <w:r w:rsidR="00621FB1" w:rsidRPr="0048422D">
        <w:t xml:space="preserve"> teachers, part 2. Goldrick Elementary School, Denver, CO. (Half-day)</w:t>
      </w:r>
    </w:p>
    <w:p w14:paraId="1881BF25" w14:textId="74A20CCF" w:rsidR="00827D7B" w:rsidRPr="0048422D" w:rsidRDefault="00827D7B" w:rsidP="00621FB1">
      <w:pPr>
        <w:pStyle w:val="NoSpacing"/>
        <w:tabs>
          <w:tab w:val="left" w:pos="1440"/>
        </w:tabs>
      </w:pPr>
    </w:p>
    <w:p w14:paraId="1B4037F2" w14:textId="28F02C35" w:rsidR="002F7847" w:rsidRDefault="002F7847" w:rsidP="00621FB1">
      <w:pPr>
        <w:pStyle w:val="NoSpacing"/>
        <w:ind w:left="2160" w:hanging="2160"/>
      </w:pPr>
      <w:r w:rsidRPr="00211AF0">
        <w:t>2011</w:t>
      </w:r>
      <w:r w:rsidRPr="00211AF0">
        <w:tab/>
      </w:r>
      <w:r w:rsidRPr="00621FB1">
        <w:t xml:space="preserve">Tzur, R., Johnson, H. L., </w:t>
      </w:r>
      <w:r w:rsidRPr="00621FB1">
        <w:rPr>
          <w:b/>
        </w:rPr>
        <w:t>McClintock, E.</w:t>
      </w:r>
      <w:r w:rsidRPr="00621FB1">
        <w:t>, Risley, R., &amp; King, K. (2011, November). Multiplicative reasoning for</w:t>
      </w:r>
      <w:r w:rsidRPr="0048422D">
        <w:t xml:space="preserve"> elementary teachers, part 1. Goldrick Elementary School, Denver, CO. (Half-day)</w:t>
      </w:r>
    </w:p>
    <w:p w14:paraId="09AF0653" w14:textId="77777777" w:rsidR="002F7847" w:rsidRDefault="002F7847" w:rsidP="00827D7B">
      <w:pPr>
        <w:pStyle w:val="NoSpacing"/>
        <w:ind w:left="1440" w:hanging="1440"/>
      </w:pPr>
    </w:p>
    <w:p w14:paraId="1A92559A" w14:textId="535AE8B9" w:rsidR="002F7847" w:rsidRDefault="002F7847" w:rsidP="00621FB1">
      <w:pPr>
        <w:pStyle w:val="NoSpacing"/>
        <w:ind w:left="2160"/>
      </w:pPr>
      <w:r w:rsidRPr="0048422D">
        <w:lastRenderedPageBreak/>
        <w:t xml:space="preserve">Tzur, R., </w:t>
      </w:r>
      <w:r w:rsidRPr="00621FB1">
        <w:t xml:space="preserve">Johnson, H. L., </w:t>
      </w:r>
      <w:r w:rsidRPr="00621FB1">
        <w:rPr>
          <w:b/>
        </w:rPr>
        <w:t>McClintock, E.</w:t>
      </w:r>
      <w:r w:rsidRPr="0048422D">
        <w:t>, Risley, R., &amp; King, K. (2011, November). Early number concepts for elementary teachers. Goldrick Elementary School, Denver, CO. (Half-day)</w:t>
      </w:r>
    </w:p>
    <w:p w14:paraId="7AEAB84D" w14:textId="77777777" w:rsidR="002F7847" w:rsidRDefault="002F7847" w:rsidP="00827D7B">
      <w:pPr>
        <w:pStyle w:val="NoSpacing"/>
        <w:ind w:left="1440" w:hanging="1440"/>
      </w:pPr>
    </w:p>
    <w:p w14:paraId="19AD6D7E" w14:textId="619EE0BD" w:rsidR="002F7847" w:rsidRDefault="002F7847" w:rsidP="00621FB1">
      <w:pPr>
        <w:pStyle w:val="NoSpacing"/>
        <w:ind w:left="2160"/>
      </w:pPr>
      <w:r w:rsidRPr="0048422D">
        <w:t xml:space="preserve">Tzur, R., </w:t>
      </w:r>
      <w:r w:rsidRPr="00621FB1">
        <w:t>Johnson, H. L.,</w:t>
      </w:r>
      <w:r w:rsidRPr="0048422D">
        <w:t xml:space="preserve"> </w:t>
      </w:r>
      <w:r w:rsidRPr="00621FB1">
        <w:rPr>
          <w:b/>
        </w:rPr>
        <w:t>McClintock, E.</w:t>
      </w:r>
      <w:r w:rsidRPr="0048422D">
        <w:t>, Risley, R., &amp; King, K. (2011, September). Place value, base ten concepts for elementary teachers. Goldrick Elementary School, Denver, CO. (Half-day)</w:t>
      </w:r>
    </w:p>
    <w:p w14:paraId="2D4E367E" w14:textId="77777777" w:rsidR="002F7847" w:rsidRDefault="002F7847" w:rsidP="00827D7B">
      <w:pPr>
        <w:pStyle w:val="NoSpacing"/>
        <w:ind w:left="1440" w:hanging="1440"/>
      </w:pPr>
    </w:p>
    <w:p w14:paraId="2C8D50B3" w14:textId="2720A334" w:rsidR="002F7847" w:rsidRDefault="00827D7B" w:rsidP="00621FB1">
      <w:pPr>
        <w:pStyle w:val="NoSpacing"/>
        <w:tabs>
          <w:tab w:val="left" w:pos="1440"/>
        </w:tabs>
        <w:ind w:left="2160" w:hanging="1440"/>
      </w:pPr>
      <w:r>
        <w:tab/>
      </w:r>
      <w:r w:rsidR="00621FB1">
        <w:tab/>
      </w:r>
      <w:r w:rsidR="002F7847" w:rsidRPr="0048422D">
        <w:t xml:space="preserve">Tzur, R., </w:t>
      </w:r>
      <w:r w:rsidR="002F7847" w:rsidRPr="00621FB1">
        <w:t>Johnson, H. L.,</w:t>
      </w:r>
      <w:r w:rsidR="002F7847" w:rsidRPr="0048422D">
        <w:t xml:space="preserve"> </w:t>
      </w:r>
      <w:r w:rsidR="002F7847" w:rsidRPr="00621FB1">
        <w:rPr>
          <w:b/>
        </w:rPr>
        <w:t>McClintock, E.</w:t>
      </w:r>
      <w:r w:rsidR="002F7847" w:rsidRPr="0048422D">
        <w:t>, Risley, R., &amp; King, K. (2011, August). Mathematics for elementary teachers: ECE-K, 1-2, and 3-4-5 grade bands. Goldrick Elementary School, Denver, CO. (Three half-days)</w:t>
      </w:r>
    </w:p>
    <w:p w14:paraId="0613556E" w14:textId="77777777" w:rsidR="00827D7B" w:rsidRPr="0048422D" w:rsidRDefault="00827D7B" w:rsidP="00827D7B">
      <w:pPr>
        <w:pStyle w:val="NoSpacing"/>
        <w:tabs>
          <w:tab w:val="left" w:pos="1375"/>
        </w:tabs>
        <w:ind w:left="1440" w:hanging="1440"/>
      </w:pPr>
    </w:p>
    <w:p w14:paraId="445D9D19" w14:textId="65BE6E80" w:rsidR="002F7847" w:rsidRDefault="002F7847" w:rsidP="00621FB1">
      <w:pPr>
        <w:pStyle w:val="NoSpacing"/>
        <w:tabs>
          <w:tab w:val="left" w:pos="1440"/>
        </w:tabs>
        <w:ind w:left="2160" w:hanging="2160"/>
      </w:pPr>
      <w:r w:rsidRPr="00211AF0">
        <w:t>2006</w:t>
      </w:r>
      <w:r w:rsidRPr="00211AF0">
        <w:tab/>
      </w:r>
      <w:r w:rsidR="00621FB1">
        <w:tab/>
      </w:r>
      <w:r w:rsidR="004F2099" w:rsidRPr="00621FB1">
        <w:t>Godine</w:t>
      </w:r>
      <w:r w:rsidRPr="00621FB1">
        <w:t>, H.,</w:t>
      </w:r>
      <w:r w:rsidRPr="0048422D">
        <w:t xml:space="preserve"> &amp; </w:t>
      </w:r>
      <w:r w:rsidRPr="00621FB1">
        <w:rPr>
          <w:b/>
        </w:rPr>
        <w:t>McClintock, E.</w:t>
      </w:r>
      <w:r w:rsidRPr="0048422D">
        <w:t xml:space="preserve"> (2006, July). K-6 grade-band. </w:t>
      </w:r>
      <w:r w:rsidRPr="0048422D">
        <w:rPr>
          <w:i/>
        </w:rPr>
        <w:t>Rural Academy for Mathematics Teachers</w:t>
      </w:r>
      <w:r w:rsidRPr="0048422D">
        <w:t>, Shippensburg, PA. (Two days)</w:t>
      </w:r>
    </w:p>
    <w:p w14:paraId="340838E1" w14:textId="77777777" w:rsidR="00AB0F13" w:rsidRDefault="00AB0F13" w:rsidP="00621FB1">
      <w:pPr>
        <w:pStyle w:val="NoSpacing"/>
        <w:tabs>
          <w:tab w:val="left" w:pos="1440"/>
        </w:tabs>
        <w:ind w:left="2160" w:hanging="2160"/>
      </w:pPr>
    </w:p>
    <w:p w14:paraId="5FCDB8C4" w14:textId="77777777" w:rsidR="00AB0F13" w:rsidRPr="005F6938" w:rsidRDefault="00AB0F13" w:rsidP="00AB0F13">
      <w:pPr>
        <w:pStyle w:val="NoSpacing"/>
        <w:contextualSpacing/>
      </w:pPr>
      <w:r w:rsidRPr="009B0465">
        <w:rPr>
          <w:b/>
        </w:rPr>
        <w:t>PUBLICATIONS/CREATIVE WORKS IN PREPARATION</w:t>
      </w:r>
    </w:p>
    <w:p w14:paraId="0FCDC617" w14:textId="60C6B9DA" w:rsidR="00827D7B" w:rsidRDefault="00AB0F13" w:rsidP="00AB0F13">
      <w:pPr>
        <w:pStyle w:val="NoSpacing"/>
        <w:tabs>
          <w:tab w:val="left" w:pos="1440"/>
        </w:tabs>
        <w:ind w:left="1440" w:hanging="1440"/>
        <w:rPr>
          <w:i/>
        </w:rPr>
      </w:pPr>
      <w:r>
        <w:rPr>
          <w:i/>
        </w:rPr>
        <w:t xml:space="preserve">     REFEREED JOURNAL ARTICLES</w:t>
      </w:r>
    </w:p>
    <w:p w14:paraId="3A7AE41C" w14:textId="77777777" w:rsidR="00AB0F13" w:rsidRDefault="00AB0F13" w:rsidP="005E3C55">
      <w:pPr>
        <w:pStyle w:val="Header"/>
        <w:rPr>
          <w:i/>
        </w:rPr>
      </w:pPr>
    </w:p>
    <w:p w14:paraId="425B0BDF" w14:textId="331A69DC" w:rsidR="007875D6" w:rsidRDefault="00AB0F13" w:rsidP="002C1096">
      <w:pPr>
        <w:pStyle w:val="Header"/>
        <w:ind w:left="2160" w:hanging="2160"/>
      </w:pPr>
      <w:r>
        <w:t>In preparation</w:t>
      </w:r>
      <w:r w:rsidRPr="001071CC">
        <w:tab/>
      </w:r>
      <w:r w:rsidR="007875D6">
        <w:t xml:space="preserve">Johnson, H. L., </w:t>
      </w:r>
      <w:r w:rsidR="007875D6" w:rsidRPr="00355E38">
        <w:rPr>
          <w:b/>
        </w:rPr>
        <w:t>McClintock, E.</w:t>
      </w:r>
      <w:r w:rsidR="007875D6">
        <w:t>, &amp; Gardner, A. (</w:t>
      </w:r>
      <w:r w:rsidR="002C1096">
        <w:t>under review</w:t>
      </w:r>
      <w:r w:rsidR="007875D6">
        <w:t xml:space="preserve">). </w:t>
      </w:r>
      <w:r w:rsidR="002C1096">
        <w:rPr>
          <w:rFonts w:cs="Helvetica"/>
        </w:rPr>
        <w:t>Opening possibilities: An approach for investigating students’ transfer of mathematical reasoning.</w:t>
      </w:r>
    </w:p>
    <w:p w14:paraId="4A4CFA13" w14:textId="4ED257AA" w:rsidR="007875D6" w:rsidRDefault="00AB0F13" w:rsidP="00567A53">
      <w:pPr>
        <w:pStyle w:val="Header"/>
        <w:ind w:left="1440" w:hanging="1440"/>
      </w:pPr>
      <w:r>
        <w:tab/>
        <w:t xml:space="preserve">               </w:t>
      </w:r>
    </w:p>
    <w:p w14:paraId="433418C2" w14:textId="52C34072" w:rsidR="002D458C" w:rsidRPr="005F5DA3" w:rsidRDefault="007875D6" w:rsidP="005F5DA3">
      <w:pPr>
        <w:pStyle w:val="Header"/>
        <w:ind w:left="2160"/>
        <w:rPr>
          <w:rFonts w:cs="Helvetica"/>
        </w:rPr>
      </w:pPr>
      <w:r>
        <w:tab/>
      </w:r>
      <w:r w:rsidR="00567A53">
        <w:t xml:space="preserve">Johnson, H. L., </w:t>
      </w:r>
      <w:r w:rsidR="005F5DA3" w:rsidRPr="00355E38">
        <w:rPr>
          <w:b/>
        </w:rPr>
        <w:t>McClintock, E.</w:t>
      </w:r>
      <w:r w:rsidR="005F5DA3">
        <w:t xml:space="preserve">, </w:t>
      </w:r>
      <w:r w:rsidR="00567A53">
        <w:t>&amp; Gardner, A. (</w:t>
      </w:r>
      <w:r w:rsidR="002C1096">
        <w:t>under</w:t>
      </w:r>
      <w:r w:rsidR="005F5DA3">
        <w:t xml:space="preserve"> review</w:t>
      </w:r>
      <w:r w:rsidR="00567A53">
        <w:t xml:space="preserve">). </w:t>
      </w:r>
      <w:r w:rsidR="005F5DA3">
        <w:t>Designing digital task sequences to promote</w:t>
      </w:r>
      <w:r w:rsidR="005F5DA3">
        <w:rPr>
          <w:rFonts w:cs="Helvetica"/>
        </w:rPr>
        <w:t xml:space="preserve"> </w:t>
      </w:r>
      <w:r w:rsidR="00567A53">
        <w:rPr>
          <w:rFonts w:cs="Helvetica"/>
        </w:rPr>
        <w:t>to promote students’ conceptions of graphs as representin</w:t>
      </w:r>
      <w:r w:rsidR="005F5DA3">
        <w:rPr>
          <w:rFonts w:cs="Helvetica"/>
        </w:rPr>
        <w:t xml:space="preserve">g </w:t>
      </w:r>
      <w:r w:rsidR="00567A53">
        <w:rPr>
          <w:rFonts w:cs="Helvetica"/>
        </w:rPr>
        <w:t>relationships</w:t>
      </w:r>
      <w:r w:rsidR="005F5DA3">
        <w:rPr>
          <w:rFonts w:cs="Helvetica"/>
        </w:rPr>
        <w:t xml:space="preserve"> between quantities. Digital Experiences in Mathematics Education.</w:t>
      </w:r>
      <w:r w:rsidR="00567A53">
        <w:t xml:space="preserve">   </w:t>
      </w:r>
    </w:p>
    <w:p w14:paraId="0619B279" w14:textId="77777777" w:rsidR="007875D6" w:rsidRDefault="007875D6" w:rsidP="002D458C">
      <w:pPr>
        <w:pStyle w:val="Header"/>
        <w:ind w:left="1440" w:hanging="1440"/>
      </w:pPr>
    </w:p>
    <w:p w14:paraId="6299244A" w14:textId="77777777" w:rsidR="00EF3DB8" w:rsidRDefault="007875D6" w:rsidP="00EF3DB8">
      <w:pPr>
        <w:pStyle w:val="Header"/>
        <w:ind w:left="1440" w:hanging="1440"/>
      </w:pPr>
      <w:r>
        <w:rPr>
          <w:b/>
        </w:rPr>
        <w:tab/>
        <w:t xml:space="preserve">               </w:t>
      </w:r>
      <w:r w:rsidRPr="007875D6">
        <w:rPr>
          <w:b/>
        </w:rPr>
        <w:t>McClintock, E.</w:t>
      </w:r>
      <w:r w:rsidRPr="007875D6">
        <w:t>,</w:t>
      </w:r>
      <w:r>
        <w:t xml:space="preserve"> Kan</w:t>
      </w:r>
      <w:r w:rsidR="00EF3DB8">
        <w:t xml:space="preserve">tor, J., Stickney, D., Fox, J., &amp; Arnold, S. (in </w:t>
      </w:r>
      <w:r>
        <w:t xml:space="preserve">preparation). CU </w:t>
      </w:r>
    </w:p>
    <w:p w14:paraId="22E0771E" w14:textId="5A794EC5" w:rsidR="007875D6" w:rsidRDefault="00EF3DB8" w:rsidP="00EF3DB8">
      <w:pPr>
        <w:pStyle w:val="Header"/>
        <w:ind w:left="1440" w:hanging="1440"/>
      </w:pPr>
      <w:r>
        <w:rPr>
          <w:b/>
        </w:rPr>
        <w:tab/>
        <w:t xml:space="preserve">               </w:t>
      </w:r>
      <w:r w:rsidR="007875D6">
        <w:t>Denver’s ASPIRE to Teach program effectiveness study.</w:t>
      </w:r>
    </w:p>
    <w:p w14:paraId="3867EDDA" w14:textId="2F1C48F1" w:rsidR="007875D6" w:rsidRDefault="007875D6" w:rsidP="007875D6">
      <w:pPr>
        <w:pStyle w:val="Header"/>
      </w:pPr>
      <w:r w:rsidRPr="001071CC">
        <w:tab/>
      </w:r>
      <w:r>
        <w:tab/>
      </w:r>
      <w:r>
        <w:tab/>
      </w:r>
    </w:p>
    <w:p w14:paraId="6442C175" w14:textId="18836D07" w:rsidR="00A334CD" w:rsidRPr="007875D6" w:rsidRDefault="00A334CD" w:rsidP="007875D6">
      <w:pPr>
        <w:pStyle w:val="Header"/>
      </w:pPr>
      <w:r>
        <w:rPr>
          <w:b/>
        </w:rPr>
        <w:t>GRANTS RECEIVED</w:t>
      </w:r>
    </w:p>
    <w:p w14:paraId="4E0F9977" w14:textId="77777777" w:rsidR="00A334CD" w:rsidRDefault="00A334CD" w:rsidP="00A334CD">
      <w:pPr>
        <w:pStyle w:val="NoSpacing"/>
        <w:contextualSpacing/>
        <w:rPr>
          <w:b/>
        </w:rPr>
      </w:pPr>
    </w:p>
    <w:p w14:paraId="7A90DF1E" w14:textId="42AE1926" w:rsidR="00A334CD" w:rsidRDefault="00A334CD" w:rsidP="00A334CD">
      <w:pPr>
        <w:pStyle w:val="NoSpacing"/>
        <w:contextualSpacing/>
      </w:pPr>
      <w:r w:rsidRPr="00A334CD">
        <w:t>2018</w:t>
      </w:r>
      <w:r>
        <w:tab/>
      </w:r>
      <w:r>
        <w:tab/>
      </w:r>
      <w:r>
        <w:tab/>
        <w:t>CU Denver</w:t>
      </w:r>
      <w:r w:rsidR="002C0CEF">
        <w:t>, Non-Tenure-Track Faculty Development Grant, $500</w:t>
      </w:r>
    </w:p>
    <w:p w14:paraId="73B007C4" w14:textId="77777777" w:rsidR="004914D9" w:rsidRDefault="004914D9" w:rsidP="00A334CD">
      <w:pPr>
        <w:pStyle w:val="NoSpacing"/>
        <w:contextualSpacing/>
      </w:pPr>
    </w:p>
    <w:p w14:paraId="4326EEFA" w14:textId="70BCD72F" w:rsidR="004914D9" w:rsidRDefault="004914D9" w:rsidP="00A334CD">
      <w:pPr>
        <w:pStyle w:val="NoSpacing"/>
        <w:contextualSpacing/>
        <w:rPr>
          <w:b/>
        </w:rPr>
      </w:pPr>
      <w:r>
        <w:rPr>
          <w:b/>
        </w:rPr>
        <w:t>OTHER GRANT APPLICATIONS</w:t>
      </w:r>
    </w:p>
    <w:p w14:paraId="47AAC190" w14:textId="77777777" w:rsidR="004914D9" w:rsidRDefault="004914D9" w:rsidP="00A334CD">
      <w:pPr>
        <w:pStyle w:val="NoSpacing"/>
        <w:contextualSpacing/>
        <w:rPr>
          <w:b/>
        </w:rPr>
      </w:pPr>
    </w:p>
    <w:p w14:paraId="04728CEB" w14:textId="1A417428" w:rsidR="005F5DA3" w:rsidRDefault="004914D9" w:rsidP="00A334CD">
      <w:pPr>
        <w:pStyle w:val="NoSpacing"/>
        <w:contextualSpacing/>
      </w:pPr>
      <w:r w:rsidRPr="004914D9">
        <w:t>2018</w:t>
      </w:r>
      <w:r w:rsidR="005F5DA3">
        <w:tab/>
      </w:r>
      <w:r w:rsidR="005F5DA3">
        <w:tab/>
      </w:r>
      <w:r w:rsidR="005F5DA3">
        <w:tab/>
        <w:t>SEHD, Faculty Development Grant</w:t>
      </w:r>
    </w:p>
    <w:p w14:paraId="43549FB7" w14:textId="5C11D57B" w:rsidR="004914D9" w:rsidRPr="004914D9" w:rsidRDefault="004914D9" w:rsidP="00A334CD">
      <w:pPr>
        <w:pStyle w:val="NoSpacing"/>
        <w:contextualSpacing/>
      </w:pPr>
      <w:r>
        <w:t>2019</w:t>
      </w:r>
      <w:r w:rsidR="005F5DA3">
        <w:tab/>
      </w:r>
      <w:r w:rsidR="005F5DA3">
        <w:tab/>
      </w:r>
      <w:r w:rsidR="005F5DA3">
        <w:tab/>
        <w:t>CU Denver, Faculty Development Grant</w:t>
      </w:r>
    </w:p>
    <w:p w14:paraId="42D4BE75" w14:textId="039AFC10" w:rsidR="00AB0F13" w:rsidRPr="00A334CD" w:rsidRDefault="00AB0F13" w:rsidP="005E3C55">
      <w:pPr>
        <w:pStyle w:val="Header"/>
      </w:pPr>
    </w:p>
    <w:p w14:paraId="6CC3CAA3" w14:textId="32495CA9" w:rsidR="00CD0901" w:rsidRDefault="003634D4" w:rsidP="0025393A">
      <w:pPr>
        <w:autoSpaceDE w:val="0"/>
        <w:autoSpaceDN w:val="0"/>
        <w:adjustRightInd w:val="0"/>
        <w:spacing w:after="0" w:line="240" w:lineRule="auto"/>
        <w:outlineLvl w:val="0"/>
        <w:rPr>
          <w:rFonts w:cs="TimesNewRomanPSMT"/>
        </w:rPr>
      </w:pPr>
      <w:r>
        <w:rPr>
          <w:rFonts w:cs="TimesNewRomanPSMT"/>
          <w:b/>
        </w:rPr>
        <w:t>PROFESSIONAL ORGANIZATIONS</w:t>
      </w:r>
    </w:p>
    <w:p w14:paraId="4747D2D6" w14:textId="3C66E78A" w:rsidR="003634D4" w:rsidRDefault="00621FB1" w:rsidP="00621FB1">
      <w:pPr>
        <w:tabs>
          <w:tab w:val="left" w:pos="935"/>
        </w:tabs>
        <w:autoSpaceDE w:val="0"/>
        <w:autoSpaceDN w:val="0"/>
        <w:adjustRightInd w:val="0"/>
        <w:spacing w:after="0" w:line="240" w:lineRule="auto"/>
        <w:rPr>
          <w:rFonts w:cs="TimesNewRomanPSMT"/>
        </w:rPr>
      </w:pPr>
      <w:r w:rsidRPr="00621FB1">
        <w:rPr>
          <w:rFonts w:cs="TimesNewRomanPSMT"/>
        </w:rPr>
        <w:t>2001</w:t>
      </w:r>
      <w:r w:rsidR="003634D4" w:rsidRPr="00621FB1">
        <w:rPr>
          <w:rFonts w:cs="TimesNewRomanPSMT"/>
        </w:rPr>
        <w:t xml:space="preserve"> - Present: National Council of Teachers of Mathematics</w:t>
      </w:r>
    </w:p>
    <w:p w14:paraId="12B1B6D9" w14:textId="61E82BCC" w:rsidR="004B505F" w:rsidRDefault="004B505F" w:rsidP="00621FB1">
      <w:pPr>
        <w:tabs>
          <w:tab w:val="left" w:pos="935"/>
        </w:tabs>
        <w:autoSpaceDE w:val="0"/>
        <w:autoSpaceDN w:val="0"/>
        <w:adjustRightInd w:val="0"/>
        <w:spacing w:after="0" w:line="240" w:lineRule="auto"/>
        <w:rPr>
          <w:rFonts w:cs="TimesNewRomanPSMT"/>
        </w:rPr>
      </w:pPr>
      <w:r>
        <w:rPr>
          <w:rFonts w:cs="TimesNewRomanPSMT"/>
        </w:rPr>
        <w:t>2014 - Present: International Group for the Psychology of Mathematics Education</w:t>
      </w:r>
    </w:p>
    <w:p w14:paraId="604AE94D" w14:textId="44C47E84" w:rsidR="00B3188D" w:rsidRPr="00621FB1" w:rsidRDefault="00B3188D" w:rsidP="00621FB1">
      <w:pPr>
        <w:tabs>
          <w:tab w:val="left" w:pos="935"/>
        </w:tabs>
        <w:autoSpaceDE w:val="0"/>
        <w:autoSpaceDN w:val="0"/>
        <w:adjustRightInd w:val="0"/>
        <w:spacing w:after="0" w:line="240" w:lineRule="auto"/>
        <w:rPr>
          <w:rFonts w:cs="TimesNewRomanPSMT"/>
        </w:rPr>
      </w:pPr>
      <w:r>
        <w:rPr>
          <w:rFonts w:cs="TimesNewRomanPSMT"/>
        </w:rPr>
        <w:t>2016 - Present: European Society for Research in Mathematics Education</w:t>
      </w:r>
    </w:p>
    <w:p w14:paraId="12277F05" w14:textId="77777777" w:rsidR="003634D4" w:rsidRDefault="003634D4" w:rsidP="0025393A">
      <w:pPr>
        <w:pStyle w:val="NoSpacing"/>
        <w:contextualSpacing/>
        <w:rPr>
          <w:b/>
        </w:rPr>
      </w:pPr>
    </w:p>
    <w:p w14:paraId="1193B3F8" w14:textId="739601EE" w:rsidR="00F557D5" w:rsidRDefault="00DF3135" w:rsidP="0025393A">
      <w:pPr>
        <w:pStyle w:val="NoSpacing"/>
        <w:outlineLvl w:val="0"/>
        <w:rPr>
          <w:b/>
        </w:rPr>
      </w:pPr>
      <w:r w:rsidRPr="00DF3135">
        <w:rPr>
          <w:b/>
        </w:rPr>
        <w:t xml:space="preserve">COURSES </w:t>
      </w:r>
      <w:r w:rsidR="00636A24">
        <w:rPr>
          <w:b/>
        </w:rPr>
        <w:t>TAUGHT</w:t>
      </w:r>
    </w:p>
    <w:p w14:paraId="351616AA" w14:textId="4A933553" w:rsidR="00DF3135" w:rsidRPr="005853E1" w:rsidRDefault="0073613E" w:rsidP="00356A6E">
      <w:pPr>
        <w:pStyle w:val="NoSpacing"/>
        <w:ind w:left="360"/>
        <w:outlineLvl w:val="0"/>
        <w:rPr>
          <w:i/>
        </w:rPr>
      </w:pPr>
      <w:r w:rsidRPr="005853E1">
        <w:rPr>
          <w:i/>
        </w:rPr>
        <w:t>FACE TO FACE</w:t>
      </w:r>
    </w:p>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725"/>
        <w:gridCol w:w="1800"/>
        <w:gridCol w:w="2340"/>
        <w:gridCol w:w="3098"/>
      </w:tblGrid>
      <w:tr w:rsidR="00DF3135" w14:paraId="6210BBC1" w14:textId="69EC1C23" w:rsidTr="009A0B29">
        <w:tc>
          <w:tcPr>
            <w:tcW w:w="2725" w:type="dxa"/>
          </w:tcPr>
          <w:p w14:paraId="2B703F8A" w14:textId="47317468" w:rsidR="00DF3135" w:rsidRPr="00DF3135" w:rsidRDefault="00DF3135" w:rsidP="0025393A">
            <w:pPr>
              <w:pStyle w:val="NoSpacing"/>
              <w:rPr>
                <w:b/>
                <w:u w:val="single"/>
              </w:rPr>
            </w:pPr>
            <w:r w:rsidRPr="00DF3135">
              <w:rPr>
                <w:b/>
                <w:u w:val="single"/>
              </w:rPr>
              <w:t>Course</w:t>
            </w:r>
          </w:p>
        </w:tc>
        <w:tc>
          <w:tcPr>
            <w:tcW w:w="1800" w:type="dxa"/>
          </w:tcPr>
          <w:p w14:paraId="0C426B6D" w14:textId="4F4B8442" w:rsidR="00DF3135" w:rsidRPr="00DF3135" w:rsidRDefault="00DF3135" w:rsidP="0025393A">
            <w:pPr>
              <w:pStyle w:val="NoSpacing"/>
              <w:rPr>
                <w:b/>
                <w:u w:val="single"/>
              </w:rPr>
            </w:pPr>
            <w:r w:rsidRPr="00DF3135">
              <w:rPr>
                <w:b/>
                <w:u w:val="single"/>
              </w:rPr>
              <w:t>Level</w:t>
            </w:r>
          </w:p>
        </w:tc>
        <w:tc>
          <w:tcPr>
            <w:tcW w:w="2340" w:type="dxa"/>
          </w:tcPr>
          <w:p w14:paraId="6B1FE35A" w14:textId="1F1DC6F3" w:rsidR="00DF3135" w:rsidRPr="00DF3135" w:rsidRDefault="00DF3135" w:rsidP="0025393A">
            <w:pPr>
              <w:pStyle w:val="NoSpacing"/>
              <w:rPr>
                <w:b/>
                <w:u w:val="single"/>
              </w:rPr>
            </w:pPr>
            <w:r w:rsidRPr="00DF3135">
              <w:rPr>
                <w:b/>
                <w:u w:val="single"/>
              </w:rPr>
              <w:t>Department</w:t>
            </w:r>
          </w:p>
        </w:tc>
        <w:tc>
          <w:tcPr>
            <w:tcW w:w="3098" w:type="dxa"/>
          </w:tcPr>
          <w:p w14:paraId="4161DAB9" w14:textId="54660C20" w:rsidR="00DF3135" w:rsidRPr="00211AF0" w:rsidRDefault="00DF3135" w:rsidP="0025393A">
            <w:pPr>
              <w:pStyle w:val="NoSpacing"/>
              <w:rPr>
                <w:b/>
                <w:u w:val="single"/>
              </w:rPr>
            </w:pPr>
            <w:r w:rsidRPr="00211AF0">
              <w:rPr>
                <w:b/>
                <w:u w:val="single"/>
              </w:rPr>
              <w:t>Institution</w:t>
            </w:r>
          </w:p>
        </w:tc>
      </w:tr>
      <w:tr w:rsidR="002D251D" w14:paraId="393234E0" w14:textId="026B6A93" w:rsidTr="009A0B29">
        <w:tc>
          <w:tcPr>
            <w:tcW w:w="2725" w:type="dxa"/>
          </w:tcPr>
          <w:p w14:paraId="28875464" w14:textId="4AB02C46" w:rsidR="00FD72A7" w:rsidRDefault="00FD72A7" w:rsidP="00FD72A7">
            <w:pPr>
              <w:pStyle w:val="NoSpacing"/>
            </w:pPr>
            <w:r>
              <w:lastRenderedPageBreak/>
              <w:t xml:space="preserve">Curriculum Experiences in Elementary Mathematics I: Numbers and Operations, </w:t>
            </w:r>
          </w:p>
          <w:p w14:paraId="6ABD4E40" w14:textId="658FC3F9" w:rsidR="002D251D" w:rsidRPr="00E533CB" w:rsidRDefault="00FD72A7" w:rsidP="0025393A">
            <w:pPr>
              <w:pStyle w:val="NoSpacing"/>
              <w:rPr>
                <w:i/>
              </w:rPr>
            </w:pPr>
            <w:r>
              <w:t>E12.2115</w:t>
            </w:r>
          </w:p>
        </w:tc>
        <w:tc>
          <w:tcPr>
            <w:tcW w:w="1800" w:type="dxa"/>
          </w:tcPr>
          <w:p w14:paraId="7B6FE9DA" w14:textId="67DF1592" w:rsidR="002D251D" w:rsidRDefault="002D251D" w:rsidP="0025393A">
            <w:r w:rsidRPr="00677127">
              <w:t>Graduate</w:t>
            </w:r>
          </w:p>
        </w:tc>
        <w:tc>
          <w:tcPr>
            <w:tcW w:w="2340" w:type="dxa"/>
          </w:tcPr>
          <w:p w14:paraId="0F6B5306" w14:textId="1366A6B3" w:rsidR="002D251D" w:rsidRDefault="00E533CB" w:rsidP="0025393A">
            <w:r>
              <w:t>Steinhardt School of Culture, Education, and Human Development</w:t>
            </w:r>
          </w:p>
        </w:tc>
        <w:tc>
          <w:tcPr>
            <w:tcW w:w="3098" w:type="dxa"/>
          </w:tcPr>
          <w:p w14:paraId="235CC65A" w14:textId="6330E360" w:rsidR="002D251D" w:rsidRPr="00211AF0" w:rsidRDefault="00E533CB" w:rsidP="0025393A">
            <w:pPr>
              <w:pStyle w:val="NoSpacing"/>
            </w:pPr>
            <w:r>
              <w:t>New York University</w:t>
            </w:r>
          </w:p>
        </w:tc>
      </w:tr>
      <w:tr w:rsidR="002D251D" w14:paraId="363B9921" w14:textId="41FFD8D8" w:rsidTr="009A0B29">
        <w:tc>
          <w:tcPr>
            <w:tcW w:w="2725" w:type="dxa"/>
          </w:tcPr>
          <w:p w14:paraId="46C4EFC7" w14:textId="6384AAEB" w:rsidR="002D251D" w:rsidRPr="00EB25B3" w:rsidRDefault="002D251D" w:rsidP="0025393A">
            <w:r w:rsidRPr="00765D34">
              <w:t>Teaching Elementary Mathematics</w:t>
            </w:r>
            <w:r>
              <w:t xml:space="preserve"> I</w:t>
            </w:r>
            <w:r w:rsidR="00E15C9E">
              <w:t>, UEDU 5002/4002</w:t>
            </w:r>
          </w:p>
        </w:tc>
        <w:tc>
          <w:tcPr>
            <w:tcW w:w="1800" w:type="dxa"/>
          </w:tcPr>
          <w:p w14:paraId="355DD81B" w14:textId="77777777" w:rsidR="00F82CB1" w:rsidRDefault="00F82CB1" w:rsidP="00F82CB1">
            <w:pPr>
              <w:ind w:right="155"/>
            </w:pPr>
            <w:r w:rsidRPr="00677127">
              <w:t>Graduate</w:t>
            </w:r>
            <w:r>
              <w:t>/</w:t>
            </w:r>
          </w:p>
          <w:p w14:paraId="0C2F8BA6" w14:textId="6C385BB2" w:rsidR="002D251D" w:rsidRDefault="00F82CB1" w:rsidP="00F82CB1">
            <w:r>
              <w:t>Undergraduate</w:t>
            </w:r>
          </w:p>
        </w:tc>
        <w:tc>
          <w:tcPr>
            <w:tcW w:w="2340" w:type="dxa"/>
          </w:tcPr>
          <w:p w14:paraId="170D176E" w14:textId="6A3E1DDE" w:rsidR="002D251D" w:rsidRDefault="002D251D" w:rsidP="0025393A">
            <w:r w:rsidRPr="00E310A3">
              <w:t>School of Education and Human Development</w:t>
            </w:r>
          </w:p>
        </w:tc>
        <w:tc>
          <w:tcPr>
            <w:tcW w:w="3098" w:type="dxa"/>
          </w:tcPr>
          <w:p w14:paraId="62DD28E8" w14:textId="77777777" w:rsidR="002D251D" w:rsidRDefault="002D251D" w:rsidP="0025393A">
            <w:pPr>
              <w:pStyle w:val="NoSpacing"/>
            </w:pPr>
            <w:r w:rsidRPr="00211AF0">
              <w:t>University of Colorado Denver</w:t>
            </w:r>
          </w:p>
          <w:p w14:paraId="59772C7D" w14:textId="77777777" w:rsidR="00E533CB" w:rsidRDefault="00E533CB" w:rsidP="0025393A">
            <w:pPr>
              <w:pStyle w:val="NoSpacing"/>
            </w:pPr>
          </w:p>
          <w:p w14:paraId="6C488C4F" w14:textId="6C0CCC20" w:rsidR="00E533CB" w:rsidRPr="00211AF0" w:rsidRDefault="00E533CB" w:rsidP="0025393A">
            <w:pPr>
              <w:pStyle w:val="NoSpacing"/>
            </w:pPr>
          </w:p>
        </w:tc>
      </w:tr>
      <w:tr w:rsidR="002D251D" w14:paraId="673B2869" w14:textId="77798DE7" w:rsidTr="009A0B29">
        <w:tc>
          <w:tcPr>
            <w:tcW w:w="2725" w:type="dxa"/>
          </w:tcPr>
          <w:p w14:paraId="276E4628" w14:textId="739DF167" w:rsidR="002D251D" w:rsidRPr="00EB25B3" w:rsidRDefault="002D251D" w:rsidP="0025393A">
            <w:r w:rsidRPr="00765D34">
              <w:t>Teaching Elementary Mathematics</w:t>
            </w:r>
            <w:r>
              <w:t xml:space="preserve"> II</w:t>
            </w:r>
            <w:r w:rsidR="00E15C9E">
              <w:t>, UEDU 5003/4003</w:t>
            </w:r>
          </w:p>
        </w:tc>
        <w:tc>
          <w:tcPr>
            <w:tcW w:w="1800" w:type="dxa"/>
          </w:tcPr>
          <w:p w14:paraId="54ECE10D" w14:textId="77777777" w:rsidR="00F82CB1" w:rsidRDefault="00F82CB1" w:rsidP="00F82CB1">
            <w:pPr>
              <w:ind w:right="155"/>
            </w:pPr>
            <w:r w:rsidRPr="00677127">
              <w:t>Graduate</w:t>
            </w:r>
            <w:r>
              <w:t>/</w:t>
            </w:r>
          </w:p>
          <w:p w14:paraId="4C8624BA" w14:textId="1E829A93" w:rsidR="002D251D" w:rsidRDefault="00F82CB1" w:rsidP="00F82CB1">
            <w:r>
              <w:t>Undergraduate</w:t>
            </w:r>
          </w:p>
        </w:tc>
        <w:tc>
          <w:tcPr>
            <w:tcW w:w="2340" w:type="dxa"/>
          </w:tcPr>
          <w:p w14:paraId="513BD640" w14:textId="714E4554" w:rsidR="002D251D" w:rsidRDefault="002D251D" w:rsidP="0025393A">
            <w:r w:rsidRPr="00E310A3">
              <w:t>School of Education and Human Development</w:t>
            </w:r>
          </w:p>
        </w:tc>
        <w:tc>
          <w:tcPr>
            <w:tcW w:w="3098" w:type="dxa"/>
          </w:tcPr>
          <w:p w14:paraId="7F97378D" w14:textId="62C6961C" w:rsidR="002D251D" w:rsidRPr="00211AF0" w:rsidRDefault="002D251D" w:rsidP="0025393A">
            <w:pPr>
              <w:pStyle w:val="NoSpacing"/>
            </w:pPr>
            <w:r w:rsidRPr="00211AF0">
              <w:t>University of Colorado Denver</w:t>
            </w:r>
          </w:p>
        </w:tc>
      </w:tr>
      <w:tr w:rsidR="002D251D" w14:paraId="1D95FA51" w14:textId="147A3154" w:rsidTr="009A0B29">
        <w:tc>
          <w:tcPr>
            <w:tcW w:w="2725" w:type="dxa"/>
          </w:tcPr>
          <w:p w14:paraId="638A3EA7" w14:textId="0C7DE104" w:rsidR="002D251D" w:rsidRDefault="002D251D" w:rsidP="00274147">
            <w:pPr>
              <w:pStyle w:val="NoSpacing"/>
              <w:rPr>
                <w:highlight w:val="yellow"/>
              </w:rPr>
            </w:pPr>
            <w:r w:rsidRPr="00211AF0">
              <w:t xml:space="preserve">Teaching </w:t>
            </w:r>
            <w:r w:rsidR="00274147">
              <w:t>Mathematics in the Elementary Schools</w:t>
            </w:r>
            <w:r w:rsidR="008C68DD">
              <w:t>, MTHED 4</w:t>
            </w:r>
            <w:r w:rsidR="00274147">
              <w:t>20</w:t>
            </w:r>
          </w:p>
        </w:tc>
        <w:tc>
          <w:tcPr>
            <w:tcW w:w="1800" w:type="dxa"/>
          </w:tcPr>
          <w:p w14:paraId="499265D5" w14:textId="000A84EC" w:rsidR="002D251D" w:rsidRDefault="002D251D" w:rsidP="0025393A">
            <w:pPr>
              <w:pStyle w:val="NoSpacing"/>
              <w:rPr>
                <w:highlight w:val="yellow"/>
              </w:rPr>
            </w:pPr>
            <w:r>
              <w:t>Underg</w:t>
            </w:r>
            <w:r w:rsidRPr="00E61F8B">
              <w:t>raduate</w:t>
            </w:r>
          </w:p>
        </w:tc>
        <w:tc>
          <w:tcPr>
            <w:tcW w:w="2340" w:type="dxa"/>
          </w:tcPr>
          <w:p w14:paraId="10597C11" w14:textId="642E8CA7" w:rsidR="002D251D" w:rsidRDefault="002D251D" w:rsidP="0025393A">
            <w:pPr>
              <w:pStyle w:val="NoSpacing"/>
              <w:rPr>
                <w:highlight w:val="yellow"/>
              </w:rPr>
            </w:pPr>
            <w:r>
              <w:t>College of Education</w:t>
            </w:r>
          </w:p>
        </w:tc>
        <w:tc>
          <w:tcPr>
            <w:tcW w:w="3098" w:type="dxa"/>
          </w:tcPr>
          <w:p w14:paraId="53F949ED" w14:textId="68D6D36F" w:rsidR="002D251D" w:rsidRPr="00211AF0" w:rsidRDefault="002D251D" w:rsidP="0025393A">
            <w:pPr>
              <w:pStyle w:val="NoSpacing"/>
            </w:pPr>
            <w:r w:rsidRPr="00211AF0">
              <w:t>The Pennsylvania State University</w:t>
            </w:r>
          </w:p>
        </w:tc>
      </w:tr>
    </w:tbl>
    <w:p w14:paraId="7E6D0DBD" w14:textId="77777777" w:rsidR="00597AC3" w:rsidRDefault="00597AC3" w:rsidP="0025393A">
      <w:pPr>
        <w:pStyle w:val="NoSpacing"/>
        <w:outlineLvl w:val="0"/>
        <w:rPr>
          <w:b/>
        </w:rPr>
      </w:pPr>
    </w:p>
    <w:p w14:paraId="6E4BA395" w14:textId="0C718B12" w:rsidR="006B3CF4" w:rsidRPr="00356A6E" w:rsidRDefault="00356A6E" w:rsidP="00356A6E">
      <w:pPr>
        <w:pStyle w:val="NoSpacing"/>
        <w:ind w:left="360"/>
        <w:outlineLvl w:val="0"/>
      </w:pPr>
      <w:r w:rsidRPr="00356A6E">
        <w:rPr>
          <w:i/>
        </w:rPr>
        <w:t>HYBRID</w:t>
      </w:r>
      <w:r w:rsidR="00BD2818" w:rsidRPr="00356A6E">
        <w:tab/>
      </w:r>
    </w:p>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725"/>
        <w:gridCol w:w="1800"/>
        <w:gridCol w:w="2340"/>
        <w:gridCol w:w="3098"/>
      </w:tblGrid>
      <w:tr w:rsidR="006B3CF4" w14:paraId="0A6C7166" w14:textId="66D896E9" w:rsidTr="009A0B29">
        <w:tc>
          <w:tcPr>
            <w:tcW w:w="2725" w:type="dxa"/>
          </w:tcPr>
          <w:p w14:paraId="66CF83D6" w14:textId="12D4232E" w:rsidR="006B3CF4" w:rsidRPr="00DF3135" w:rsidRDefault="006B3CF4" w:rsidP="0025393A">
            <w:pPr>
              <w:pStyle w:val="NoSpacing"/>
              <w:rPr>
                <w:b/>
                <w:u w:val="single"/>
              </w:rPr>
            </w:pPr>
            <w:r w:rsidRPr="00DF3135">
              <w:rPr>
                <w:b/>
                <w:u w:val="single"/>
              </w:rPr>
              <w:t>Course</w:t>
            </w:r>
          </w:p>
        </w:tc>
        <w:tc>
          <w:tcPr>
            <w:tcW w:w="1800" w:type="dxa"/>
          </w:tcPr>
          <w:p w14:paraId="42019A8F" w14:textId="6F56490A" w:rsidR="006B3CF4" w:rsidRPr="00DF3135" w:rsidRDefault="006B3CF4" w:rsidP="0025393A">
            <w:pPr>
              <w:pStyle w:val="NoSpacing"/>
              <w:rPr>
                <w:b/>
                <w:u w:val="single"/>
              </w:rPr>
            </w:pPr>
            <w:r w:rsidRPr="00DF3135">
              <w:rPr>
                <w:b/>
                <w:u w:val="single"/>
              </w:rPr>
              <w:t>Level</w:t>
            </w:r>
          </w:p>
        </w:tc>
        <w:tc>
          <w:tcPr>
            <w:tcW w:w="2340" w:type="dxa"/>
          </w:tcPr>
          <w:p w14:paraId="5293366A" w14:textId="5C3D00B6" w:rsidR="006B3CF4" w:rsidRPr="00DF3135" w:rsidRDefault="006B3CF4" w:rsidP="0025393A">
            <w:pPr>
              <w:pStyle w:val="NoSpacing"/>
              <w:rPr>
                <w:b/>
                <w:u w:val="single"/>
              </w:rPr>
            </w:pPr>
            <w:r w:rsidRPr="00DF3135">
              <w:rPr>
                <w:b/>
                <w:u w:val="single"/>
              </w:rPr>
              <w:t>Department</w:t>
            </w:r>
          </w:p>
        </w:tc>
        <w:tc>
          <w:tcPr>
            <w:tcW w:w="3098" w:type="dxa"/>
          </w:tcPr>
          <w:p w14:paraId="749B71DF" w14:textId="2B513E87" w:rsidR="006B3CF4" w:rsidRPr="00211AF0" w:rsidRDefault="006B3CF4" w:rsidP="0025393A">
            <w:pPr>
              <w:pStyle w:val="NoSpacing"/>
              <w:rPr>
                <w:b/>
                <w:u w:val="single"/>
              </w:rPr>
            </w:pPr>
            <w:r w:rsidRPr="00211AF0">
              <w:rPr>
                <w:b/>
                <w:u w:val="single"/>
              </w:rPr>
              <w:t>Institution</w:t>
            </w:r>
          </w:p>
        </w:tc>
      </w:tr>
      <w:tr w:rsidR="00E533CB" w14:paraId="7100B30E" w14:textId="69DEC633" w:rsidTr="009A0B29">
        <w:tc>
          <w:tcPr>
            <w:tcW w:w="2725" w:type="dxa"/>
          </w:tcPr>
          <w:p w14:paraId="5D969D39" w14:textId="2797794E" w:rsidR="00E533CB" w:rsidRPr="00D22944" w:rsidRDefault="00E533CB" w:rsidP="0025393A">
            <w:pPr>
              <w:pStyle w:val="NoSpacing"/>
              <w:rPr>
                <w:i/>
                <w:highlight w:val="yellow"/>
              </w:rPr>
            </w:pPr>
            <w:r>
              <w:t>STEM Capstone: Secondary Education, UEDU 4051/5051</w:t>
            </w:r>
          </w:p>
        </w:tc>
        <w:tc>
          <w:tcPr>
            <w:tcW w:w="1800" w:type="dxa"/>
          </w:tcPr>
          <w:p w14:paraId="43E8AAA1" w14:textId="77777777" w:rsidR="00E533CB" w:rsidRDefault="00E533CB" w:rsidP="00FD62BE">
            <w:pPr>
              <w:ind w:right="155"/>
            </w:pPr>
            <w:r>
              <w:t>Graduate/</w:t>
            </w:r>
          </w:p>
          <w:p w14:paraId="761A80BA" w14:textId="4FE6C338" w:rsidR="00E533CB" w:rsidRDefault="00E533CB" w:rsidP="0025393A">
            <w:r>
              <w:t>Undergraduate</w:t>
            </w:r>
          </w:p>
        </w:tc>
        <w:tc>
          <w:tcPr>
            <w:tcW w:w="2340" w:type="dxa"/>
          </w:tcPr>
          <w:p w14:paraId="71C9446C" w14:textId="33027CC5" w:rsidR="00E533CB" w:rsidRDefault="00E533CB" w:rsidP="0025393A">
            <w:r w:rsidRPr="00E310A3">
              <w:t>School of Education and Human Development</w:t>
            </w:r>
          </w:p>
        </w:tc>
        <w:tc>
          <w:tcPr>
            <w:tcW w:w="3098" w:type="dxa"/>
          </w:tcPr>
          <w:p w14:paraId="5152CFF4" w14:textId="27C7413A" w:rsidR="00E533CB" w:rsidRPr="00211AF0" w:rsidRDefault="00E533CB" w:rsidP="0025393A">
            <w:pPr>
              <w:pStyle w:val="NoSpacing"/>
            </w:pPr>
            <w:r w:rsidRPr="00211AF0">
              <w:t>University of Colorado Denver</w:t>
            </w:r>
          </w:p>
        </w:tc>
      </w:tr>
      <w:tr w:rsidR="006B3CF4" w14:paraId="37FD9094" w14:textId="35FCA39D" w:rsidTr="009A0B29">
        <w:tc>
          <w:tcPr>
            <w:tcW w:w="2725" w:type="dxa"/>
          </w:tcPr>
          <w:p w14:paraId="3F45ACC8" w14:textId="1360B9CF" w:rsidR="00BC3CEE" w:rsidRPr="00EB25B3" w:rsidRDefault="006B3CF4" w:rsidP="0025393A">
            <w:r w:rsidRPr="00765D34">
              <w:t>Mathematics for Elementary Teachers</w:t>
            </w:r>
            <w:r w:rsidR="00BD2818">
              <w:t>, UEDU 5400/MATH 3040</w:t>
            </w:r>
          </w:p>
        </w:tc>
        <w:tc>
          <w:tcPr>
            <w:tcW w:w="1800" w:type="dxa"/>
          </w:tcPr>
          <w:p w14:paraId="75053E97" w14:textId="77777777" w:rsidR="009A0B29" w:rsidRDefault="006B3CF4" w:rsidP="0025393A">
            <w:pPr>
              <w:ind w:right="155"/>
            </w:pPr>
            <w:r w:rsidRPr="00677127">
              <w:t>Graduate</w:t>
            </w:r>
            <w:r w:rsidR="00BD2818">
              <w:t>/</w:t>
            </w:r>
          </w:p>
          <w:p w14:paraId="6F024461" w14:textId="653F1C44" w:rsidR="006B3CF4" w:rsidRDefault="00BD2818" w:rsidP="0025393A">
            <w:pPr>
              <w:ind w:right="155"/>
            </w:pPr>
            <w:r>
              <w:t>Undergraduate</w:t>
            </w:r>
          </w:p>
        </w:tc>
        <w:tc>
          <w:tcPr>
            <w:tcW w:w="2340" w:type="dxa"/>
          </w:tcPr>
          <w:p w14:paraId="45062144" w14:textId="44CD3DB6" w:rsidR="006B3CF4" w:rsidRDefault="006B3CF4" w:rsidP="0025393A">
            <w:r w:rsidRPr="00E310A3">
              <w:t>School of Education and Human Development</w:t>
            </w:r>
          </w:p>
        </w:tc>
        <w:tc>
          <w:tcPr>
            <w:tcW w:w="3098" w:type="dxa"/>
          </w:tcPr>
          <w:p w14:paraId="0D844024" w14:textId="77777777" w:rsidR="006B3CF4" w:rsidRDefault="006B3CF4" w:rsidP="0025393A">
            <w:pPr>
              <w:pStyle w:val="NoSpacing"/>
            </w:pPr>
            <w:r w:rsidRPr="00211AF0">
              <w:t>University of Colorado Denver</w:t>
            </w:r>
          </w:p>
          <w:p w14:paraId="259D6F2F" w14:textId="77777777" w:rsidR="00BC3CEE" w:rsidRDefault="00BC3CEE" w:rsidP="0025393A">
            <w:pPr>
              <w:pStyle w:val="NoSpacing"/>
            </w:pPr>
          </w:p>
          <w:p w14:paraId="17371A6D" w14:textId="7BD1AD92" w:rsidR="00BC3CEE" w:rsidRPr="00211AF0" w:rsidRDefault="00BC3CEE" w:rsidP="0025393A">
            <w:pPr>
              <w:pStyle w:val="NoSpacing"/>
            </w:pPr>
          </w:p>
        </w:tc>
      </w:tr>
      <w:tr w:rsidR="00BC3CEE" w14:paraId="480EA940" w14:textId="77777777" w:rsidTr="009A0B29">
        <w:tc>
          <w:tcPr>
            <w:tcW w:w="2725" w:type="dxa"/>
          </w:tcPr>
          <w:p w14:paraId="79188E0F" w14:textId="77777777" w:rsidR="00BC3CEE" w:rsidRDefault="00BC3CEE" w:rsidP="00BC3CEE">
            <w:pPr>
              <w:pStyle w:val="NoSpacing"/>
            </w:pPr>
            <w:r>
              <w:t>Introduction to Research: Educational Research Methods,</w:t>
            </w:r>
          </w:p>
          <w:p w14:paraId="63B864ED" w14:textId="3E0EC026" w:rsidR="00BC3CEE" w:rsidRPr="00765D34" w:rsidRDefault="00BC3CEE" w:rsidP="0025393A">
            <w:r>
              <w:t>RSEM 5120</w:t>
            </w:r>
          </w:p>
        </w:tc>
        <w:tc>
          <w:tcPr>
            <w:tcW w:w="1800" w:type="dxa"/>
          </w:tcPr>
          <w:p w14:paraId="3404D6E1" w14:textId="56EE3E75" w:rsidR="00BC3CEE" w:rsidRPr="00677127" w:rsidRDefault="00BC3CEE" w:rsidP="0025393A">
            <w:pPr>
              <w:ind w:right="155"/>
            </w:pPr>
            <w:r>
              <w:t>Graduate</w:t>
            </w:r>
          </w:p>
        </w:tc>
        <w:tc>
          <w:tcPr>
            <w:tcW w:w="2340" w:type="dxa"/>
          </w:tcPr>
          <w:p w14:paraId="38B4361A" w14:textId="0CDEE161" w:rsidR="00BC3CEE" w:rsidRPr="00E310A3" w:rsidRDefault="00BC3CEE" w:rsidP="0025393A">
            <w:r>
              <w:t>School of Education and Human Development</w:t>
            </w:r>
          </w:p>
        </w:tc>
        <w:tc>
          <w:tcPr>
            <w:tcW w:w="3098" w:type="dxa"/>
          </w:tcPr>
          <w:p w14:paraId="748C5E68" w14:textId="5D78F5AB" w:rsidR="00BC3CEE" w:rsidRPr="00211AF0" w:rsidRDefault="00BC3CEE" w:rsidP="0025393A">
            <w:pPr>
              <w:pStyle w:val="NoSpacing"/>
            </w:pPr>
            <w:r>
              <w:t>University of Colorado Denver</w:t>
            </w:r>
          </w:p>
        </w:tc>
      </w:tr>
    </w:tbl>
    <w:p w14:paraId="49CA79AD" w14:textId="02AF3AC1" w:rsidR="00B2073E" w:rsidRDefault="00B2073E" w:rsidP="00E533CB">
      <w:pPr>
        <w:pStyle w:val="NoSpacing"/>
        <w:outlineLvl w:val="0"/>
        <w:rPr>
          <w:b/>
        </w:rPr>
      </w:pPr>
    </w:p>
    <w:p w14:paraId="4666D875" w14:textId="64F73CD5" w:rsidR="00AB7339" w:rsidRPr="000764F8" w:rsidRDefault="00AB7339" w:rsidP="00356A6E">
      <w:pPr>
        <w:pStyle w:val="NoSpacing"/>
        <w:ind w:left="360"/>
        <w:outlineLvl w:val="0"/>
        <w:rPr>
          <w:b/>
        </w:rPr>
      </w:pPr>
      <w:r>
        <w:rPr>
          <w:i/>
        </w:rPr>
        <w:t>ONLINE</w:t>
      </w:r>
    </w:p>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725"/>
        <w:gridCol w:w="1800"/>
        <w:gridCol w:w="2340"/>
        <w:gridCol w:w="3098"/>
      </w:tblGrid>
      <w:tr w:rsidR="00AB7339" w14:paraId="09277FF2" w14:textId="77777777" w:rsidTr="00245229">
        <w:tc>
          <w:tcPr>
            <w:tcW w:w="2725" w:type="dxa"/>
          </w:tcPr>
          <w:p w14:paraId="728AE73A" w14:textId="77777777" w:rsidR="00AB7339" w:rsidRPr="00DF3135" w:rsidRDefault="00AB7339" w:rsidP="00245229">
            <w:pPr>
              <w:pStyle w:val="NoSpacing"/>
              <w:rPr>
                <w:b/>
                <w:u w:val="single"/>
              </w:rPr>
            </w:pPr>
            <w:r w:rsidRPr="00DF3135">
              <w:rPr>
                <w:b/>
                <w:u w:val="single"/>
              </w:rPr>
              <w:t>Course</w:t>
            </w:r>
          </w:p>
        </w:tc>
        <w:tc>
          <w:tcPr>
            <w:tcW w:w="1800" w:type="dxa"/>
          </w:tcPr>
          <w:p w14:paraId="55D59D65" w14:textId="77777777" w:rsidR="00AB7339" w:rsidRPr="00DF3135" w:rsidRDefault="00AB7339" w:rsidP="00245229">
            <w:pPr>
              <w:pStyle w:val="NoSpacing"/>
              <w:rPr>
                <w:b/>
                <w:u w:val="single"/>
              </w:rPr>
            </w:pPr>
            <w:r w:rsidRPr="00DF3135">
              <w:rPr>
                <w:b/>
                <w:u w:val="single"/>
              </w:rPr>
              <w:t>Level</w:t>
            </w:r>
          </w:p>
        </w:tc>
        <w:tc>
          <w:tcPr>
            <w:tcW w:w="2340" w:type="dxa"/>
          </w:tcPr>
          <w:p w14:paraId="7F04194F" w14:textId="77777777" w:rsidR="00AB7339" w:rsidRPr="00DF3135" w:rsidRDefault="00AB7339" w:rsidP="00245229">
            <w:pPr>
              <w:pStyle w:val="NoSpacing"/>
              <w:rPr>
                <w:b/>
                <w:u w:val="single"/>
              </w:rPr>
            </w:pPr>
            <w:r w:rsidRPr="00DF3135">
              <w:rPr>
                <w:b/>
                <w:u w:val="single"/>
              </w:rPr>
              <w:t>Department</w:t>
            </w:r>
          </w:p>
        </w:tc>
        <w:tc>
          <w:tcPr>
            <w:tcW w:w="3098" w:type="dxa"/>
          </w:tcPr>
          <w:p w14:paraId="5B4BE1EF" w14:textId="77777777" w:rsidR="00AB7339" w:rsidRPr="00211AF0" w:rsidRDefault="00AB7339" w:rsidP="00245229">
            <w:pPr>
              <w:pStyle w:val="NoSpacing"/>
              <w:rPr>
                <w:b/>
                <w:u w:val="single"/>
              </w:rPr>
            </w:pPr>
            <w:r w:rsidRPr="00211AF0">
              <w:rPr>
                <w:b/>
                <w:u w:val="single"/>
              </w:rPr>
              <w:t>Institution</w:t>
            </w:r>
          </w:p>
        </w:tc>
      </w:tr>
      <w:tr w:rsidR="00AB7339" w14:paraId="2E7B79E5" w14:textId="77777777" w:rsidTr="00245229">
        <w:tc>
          <w:tcPr>
            <w:tcW w:w="2725" w:type="dxa"/>
          </w:tcPr>
          <w:p w14:paraId="4B640C87" w14:textId="7872DA87" w:rsidR="00356A6E" w:rsidRPr="00356A6E" w:rsidRDefault="00AB7339" w:rsidP="00AB7339">
            <w:pPr>
              <w:pStyle w:val="NoSpacing"/>
            </w:pPr>
            <w:r>
              <w:t>Geometrical Ways of Reasoning Underlying K-12 Common Core Standards, MTED 5623</w:t>
            </w:r>
          </w:p>
        </w:tc>
        <w:tc>
          <w:tcPr>
            <w:tcW w:w="1800" w:type="dxa"/>
          </w:tcPr>
          <w:p w14:paraId="62A2939D" w14:textId="56B406C5" w:rsidR="00AB7339" w:rsidRDefault="00AB7339" w:rsidP="00AB7339">
            <w:pPr>
              <w:ind w:right="155"/>
            </w:pPr>
            <w:r>
              <w:t>Graduate</w:t>
            </w:r>
          </w:p>
        </w:tc>
        <w:tc>
          <w:tcPr>
            <w:tcW w:w="2340" w:type="dxa"/>
          </w:tcPr>
          <w:p w14:paraId="1205EA0B" w14:textId="77777777" w:rsidR="00AB7339" w:rsidRDefault="00AB7339" w:rsidP="00245229">
            <w:r w:rsidRPr="00E310A3">
              <w:t>School of Education and Human Development</w:t>
            </w:r>
          </w:p>
        </w:tc>
        <w:tc>
          <w:tcPr>
            <w:tcW w:w="3098" w:type="dxa"/>
          </w:tcPr>
          <w:p w14:paraId="07F07314" w14:textId="77777777" w:rsidR="00AB7339" w:rsidRPr="00211AF0" w:rsidRDefault="00AB7339" w:rsidP="00245229">
            <w:pPr>
              <w:pStyle w:val="NoSpacing"/>
            </w:pPr>
            <w:r w:rsidRPr="00211AF0">
              <w:t>University of Colorado Denver</w:t>
            </w:r>
          </w:p>
        </w:tc>
      </w:tr>
      <w:tr w:rsidR="00356A6E" w14:paraId="464F5983" w14:textId="77777777" w:rsidTr="00245229">
        <w:tc>
          <w:tcPr>
            <w:tcW w:w="2725" w:type="dxa"/>
          </w:tcPr>
          <w:p w14:paraId="693656C4" w14:textId="64AB826E" w:rsidR="00356A6E" w:rsidRDefault="00356A6E" w:rsidP="00AB7339">
            <w:pPr>
              <w:pStyle w:val="NoSpacing"/>
            </w:pPr>
            <w:r>
              <w:t>Introduction to Research: Educational Research Methods,</w:t>
            </w:r>
          </w:p>
          <w:p w14:paraId="38D2BC74" w14:textId="22B79F03" w:rsidR="00356A6E" w:rsidRDefault="00356A6E" w:rsidP="00AB7339">
            <w:pPr>
              <w:pStyle w:val="NoSpacing"/>
            </w:pPr>
            <w:r>
              <w:t>RSEM 5120</w:t>
            </w:r>
          </w:p>
        </w:tc>
        <w:tc>
          <w:tcPr>
            <w:tcW w:w="1800" w:type="dxa"/>
          </w:tcPr>
          <w:p w14:paraId="07949313" w14:textId="795C02E3" w:rsidR="00356A6E" w:rsidRDefault="00356A6E" w:rsidP="00AB7339">
            <w:pPr>
              <w:ind w:right="155"/>
            </w:pPr>
            <w:r>
              <w:t>Graduate</w:t>
            </w:r>
          </w:p>
        </w:tc>
        <w:tc>
          <w:tcPr>
            <w:tcW w:w="2340" w:type="dxa"/>
          </w:tcPr>
          <w:p w14:paraId="69DAE6B7" w14:textId="59E7C5A2" w:rsidR="00356A6E" w:rsidRPr="00E310A3" w:rsidRDefault="00356A6E" w:rsidP="00245229">
            <w:r>
              <w:t>School of Education and Human Development</w:t>
            </w:r>
          </w:p>
        </w:tc>
        <w:tc>
          <w:tcPr>
            <w:tcW w:w="3098" w:type="dxa"/>
          </w:tcPr>
          <w:p w14:paraId="0DD1D7C5" w14:textId="2B95CBC4" w:rsidR="00356A6E" w:rsidRPr="00211AF0" w:rsidRDefault="00356A6E" w:rsidP="00245229">
            <w:pPr>
              <w:pStyle w:val="NoSpacing"/>
            </w:pPr>
            <w:r>
              <w:t>University of Colorado Denver</w:t>
            </w:r>
          </w:p>
        </w:tc>
      </w:tr>
      <w:tr w:rsidR="0046327B" w14:paraId="03A0DB05" w14:textId="77777777" w:rsidTr="00245229">
        <w:tc>
          <w:tcPr>
            <w:tcW w:w="2725" w:type="dxa"/>
          </w:tcPr>
          <w:p w14:paraId="4B483098" w14:textId="2ECD4A85" w:rsidR="0046327B" w:rsidRDefault="0046327B" w:rsidP="0046327B">
            <w:pPr>
              <w:pStyle w:val="NoSpacing"/>
            </w:pPr>
            <w:r>
              <w:lastRenderedPageBreak/>
              <w:t>Research in Schools,</w:t>
            </w:r>
          </w:p>
          <w:p w14:paraId="038C4997" w14:textId="34C71406" w:rsidR="0046327B" w:rsidRDefault="0046327B" w:rsidP="0046327B">
            <w:pPr>
              <w:pStyle w:val="NoSpacing"/>
            </w:pPr>
            <w:r>
              <w:t>RSEM 5080</w:t>
            </w:r>
          </w:p>
        </w:tc>
        <w:tc>
          <w:tcPr>
            <w:tcW w:w="1800" w:type="dxa"/>
          </w:tcPr>
          <w:p w14:paraId="37EFE865" w14:textId="5457F362" w:rsidR="0046327B" w:rsidRDefault="0046327B" w:rsidP="00AB7339">
            <w:pPr>
              <w:ind w:right="155"/>
            </w:pPr>
            <w:r>
              <w:t>Graduate</w:t>
            </w:r>
          </w:p>
        </w:tc>
        <w:tc>
          <w:tcPr>
            <w:tcW w:w="2340" w:type="dxa"/>
          </w:tcPr>
          <w:p w14:paraId="09B3298F" w14:textId="4D20E233" w:rsidR="0046327B" w:rsidRDefault="0046327B" w:rsidP="00245229">
            <w:r>
              <w:t>School of Education and Human Development</w:t>
            </w:r>
          </w:p>
        </w:tc>
        <w:tc>
          <w:tcPr>
            <w:tcW w:w="3098" w:type="dxa"/>
          </w:tcPr>
          <w:p w14:paraId="394E15A3" w14:textId="01929214" w:rsidR="0046327B" w:rsidRDefault="0046327B" w:rsidP="00245229">
            <w:pPr>
              <w:pStyle w:val="NoSpacing"/>
            </w:pPr>
            <w:r>
              <w:t>University of Colorado Denver</w:t>
            </w:r>
          </w:p>
        </w:tc>
      </w:tr>
    </w:tbl>
    <w:p w14:paraId="49D68987" w14:textId="77777777" w:rsidR="00AB7339" w:rsidRPr="00E533CB" w:rsidRDefault="00AB7339" w:rsidP="00E533CB">
      <w:pPr>
        <w:pStyle w:val="NoSpacing"/>
        <w:outlineLvl w:val="0"/>
        <w:rPr>
          <w:b/>
        </w:rPr>
      </w:pPr>
    </w:p>
    <w:p w14:paraId="77AABE4E" w14:textId="1885D9E1" w:rsidR="00B2073E" w:rsidRPr="001003EE" w:rsidRDefault="001003EE" w:rsidP="001003EE">
      <w:pPr>
        <w:autoSpaceDE w:val="0"/>
        <w:autoSpaceDN w:val="0"/>
        <w:adjustRightInd w:val="0"/>
        <w:spacing w:after="0" w:line="240" w:lineRule="auto"/>
        <w:outlineLvl w:val="0"/>
        <w:rPr>
          <w:rFonts w:cs="TimesNewRomanPSMT"/>
          <w:b/>
        </w:rPr>
      </w:pPr>
      <w:r>
        <w:rPr>
          <w:rFonts w:cs="TimesNewRomanPSMT"/>
          <w:b/>
        </w:rPr>
        <w:t>PROFESSIONAL SERVICE</w:t>
      </w:r>
    </w:p>
    <w:p w14:paraId="7A53F558" w14:textId="77777777" w:rsidR="008F6D9F" w:rsidRPr="00CF582E" w:rsidRDefault="008F6D9F" w:rsidP="00CF0E74">
      <w:pPr>
        <w:autoSpaceDE w:val="0"/>
        <w:autoSpaceDN w:val="0"/>
        <w:adjustRightInd w:val="0"/>
        <w:spacing w:after="0" w:line="240" w:lineRule="auto"/>
        <w:ind w:firstLine="360"/>
        <w:outlineLvl w:val="0"/>
        <w:rPr>
          <w:rFonts w:cs="TimesNewRomanPSMT"/>
          <w:i/>
        </w:rPr>
      </w:pPr>
      <w:r w:rsidRPr="00CF582E">
        <w:rPr>
          <w:rFonts w:cs="TimesNewRomanPSMT"/>
          <w:i/>
        </w:rPr>
        <w:t>PEER REVIEWING</w:t>
      </w:r>
    </w:p>
    <w:p w14:paraId="01F82A6F" w14:textId="77777777" w:rsidR="008F6D9F" w:rsidRDefault="008F6D9F" w:rsidP="00CF0E74">
      <w:pPr>
        <w:autoSpaceDE w:val="0"/>
        <w:autoSpaceDN w:val="0"/>
        <w:adjustRightInd w:val="0"/>
        <w:spacing w:after="0" w:line="240" w:lineRule="auto"/>
        <w:ind w:left="720"/>
        <w:outlineLvl w:val="0"/>
        <w:rPr>
          <w:rFonts w:cs="TimesNewRomanPSMT"/>
          <w:b/>
        </w:rPr>
      </w:pPr>
      <w:r>
        <w:rPr>
          <w:rFonts w:cs="TimesNewRomanPSMT"/>
          <w:b/>
        </w:rPr>
        <w:t>Journal Articles</w:t>
      </w:r>
    </w:p>
    <w:p w14:paraId="54C7F7CE" w14:textId="77777777" w:rsidR="005D4E3A" w:rsidRDefault="00E533CB" w:rsidP="00E533CB">
      <w:pPr>
        <w:autoSpaceDE w:val="0"/>
        <w:autoSpaceDN w:val="0"/>
        <w:adjustRightInd w:val="0"/>
        <w:spacing w:after="0" w:line="240" w:lineRule="auto"/>
        <w:ind w:left="2160" w:hanging="2160"/>
        <w:rPr>
          <w:rFonts w:cs="TimesNewRomanPSMT"/>
        </w:rPr>
      </w:pPr>
      <w:r>
        <w:rPr>
          <w:rFonts w:cs="TimesNewRomanPSMT"/>
        </w:rPr>
        <w:t>2009</w:t>
      </w:r>
      <w:r w:rsidR="005D4E3A">
        <w:rPr>
          <w:rFonts w:cs="TimesNewRomanPSMT"/>
        </w:rPr>
        <w:t xml:space="preserve">-Present     </w:t>
      </w:r>
      <w:r w:rsidR="00B978D0" w:rsidRPr="00FC3822">
        <w:rPr>
          <w:rFonts w:cs="TimesNewRomanPSMT"/>
          <w:i/>
        </w:rPr>
        <w:t>Journal for Research in Mathematics Education</w:t>
      </w:r>
      <w:r w:rsidR="00B978D0">
        <w:rPr>
          <w:rFonts w:cs="TimesNewRomanPSMT"/>
        </w:rPr>
        <w:t xml:space="preserve">, </w:t>
      </w:r>
      <w:r w:rsidR="00B978D0" w:rsidRPr="00F66E46">
        <w:rPr>
          <w:rFonts w:cs="TimesNewRomanPSMT"/>
        </w:rPr>
        <w:t>National Cou</w:t>
      </w:r>
      <w:r w:rsidR="005D4E3A">
        <w:rPr>
          <w:rFonts w:cs="TimesNewRomanPSMT"/>
        </w:rPr>
        <w:t xml:space="preserve">ncil of Teachers of </w:t>
      </w:r>
    </w:p>
    <w:p w14:paraId="4CA23F8F" w14:textId="167A71BB" w:rsidR="00B978D0" w:rsidRDefault="00B978D0" w:rsidP="005D4E3A">
      <w:pPr>
        <w:autoSpaceDE w:val="0"/>
        <w:autoSpaceDN w:val="0"/>
        <w:adjustRightInd w:val="0"/>
        <w:spacing w:after="0" w:line="240" w:lineRule="auto"/>
        <w:ind w:left="2160" w:hanging="720"/>
        <w:rPr>
          <w:rFonts w:cs="TimesNewRomanPSMT"/>
        </w:rPr>
      </w:pPr>
      <w:r>
        <w:rPr>
          <w:rFonts w:cs="TimesNewRomanPSMT"/>
        </w:rPr>
        <w:t xml:space="preserve">Mathematics. </w:t>
      </w:r>
    </w:p>
    <w:p w14:paraId="1BBCEF74" w14:textId="7CBFFCE0" w:rsidR="00B3188D" w:rsidRDefault="00B3188D" w:rsidP="00B3188D">
      <w:pPr>
        <w:autoSpaceDE w:val="0"/>
        <w:autoSpaceDN w:val="0"/>
        <w:adjustRightInd w:val="0"/>
        <w:spacing w:after="0" w:line="240" w:lineRule="auto"/>
        <w:ind w:left="720" w:hanging="720"/>
        <w:rPr>
          <w:rFonts w:cs="TimesNewRomanPSMT"/>
        </w:rPr>
      </w:pPr>
      <w:r>
        <w:rPr>
          <w:rFonts w:cs="TimesNewRomanPSMT"/>
        </w:rPr>
        <w:t>2018-Present</w:t>
      </w:r>
      <w:r>
        <w:rPr>
          <w:rFonts w:cs="TimesNewRomanPSMT"/>
        </w:rPr>
        <w:tab/>
      </w:r>
      <w:r w:rsidRPr="00B3188D">
        <w:rPr>
          <w:rFonts w:cs="TimesNewRomanPSMT"/>
          <w:i/>
        </w:rPr>
        <w:t>Mathematical Teaching and Learning, An International Journal</w:t>
      </w:r>
      <w:r>
        <w:rPr>
          <w:rFonts w:cs="TimesNewRomanPSMT"/>
        </w:rPr>
        <w:t>, Taylor Francis</w:t>
      </w:r>
      <w:r w:rsidR="00952800">
        <w:rPr>
          <w:rFonts w:cs="TimesNewRomanPSMT"/>
        </w:rPr>
        <w:t>.</w:t>
      </w:r>
    </w:p>
    <w:p w14:paraId="7CBC7167" w14:textId="77777777" w:rsidR="00B978D0" w:rsidRDefault="00B978D0" w:rsidP="00B978D0">
      <w:pPr>
        <w:autoSpaceDE w:val="0"/>
        <w:autoSpaceDN w:val="0"/>
        <w:adjustRightInd w:val="0"/>
        <w:spacing w:after="0" w:line="240" w:lineRule="auto"/>
        <w:rPr>
          <w:rFonts w:cs="TimesNewRomanPSMT"/>
          <w:b/>
        </w:rPr>
      </w:pPr>
    </w:p>
    <w:p w14:paraId="6BFE0ACA" w14:textId="3B8E2F74" w:rsidR="008F6D9F" w:rsidRPr="00C5540D" w:rsidRDefault="008F6D9F" w:rsidP="00CF0E74">
      <w:pPr>
        <w:tabs>
          <w:tab w:val="left" w:pos="720"/>
        </w:tabs>
        <w:autoSpaceDE w:val="0"/>
        <w:autoSpaceDN w:val="0"/>
        <w:adjustRightInd w:val="0"/>
        <w:spacing w:after="0" w:line="240" w:lineRule="auto"/>
        <w:ind w:left="720"/>
        <w:outlineLvl w:val="0"/>
        <w:rPr>
          <w:rFonts w:cs="TimesNewRomanPSMT"/>
          <w:b/>
        </w:rPr>
      </w:pPr>
      <w:r w:rsidRPr="00C5540D">
        <w:rPr>
          <w:rFonts w:cs="TimesNewRomanPSMT"/>
          <w:b/>
        </w:rPr>
        <w:t>Conference Proposals</w:t>
      </w:r>
    </w:p>
    <w:p w14:paraId="55B7C89A" w14:textId="37695E14" w:rsidR="00B3188D" w:rsidRDefault="00B3188D" w:rsidP="00CD0901">
      <w:pPr>
        <w:autoSpaceDE w:val="0"/>
        <w:autoSpaceDN w:val="0"/>
        <w:adjustRightInd w:val="0"/>
        <w:spacing w:after="0" w:line="240" w:lineRule="auto"/>
        <w:ind w:left="1440" w:hanging="1440"/>
        <w:rPr>
          <w:rFonts w:cs="TimesNewRomanPSMT"/>
        </w:rPr>
      </w:pPr>
      <w:r>
        <w:rPr>
          <w:rFonts w:cs="TimesNewRomanPSMT"/>
        </w:rPr>
        <w:t>2018</w:t>
      </w:r>
      <w:r>
        <w:rPr>
          <w:rFonts w:cs="TimesNewRomanPSMT"/>
        </w:rPr>
        <w:tab/>
        <w:t>Eleventh Congress of the European Society of Research in Mathematics Education (CERME 11), Utrecht, Netherlands</w:t>
      </w:r>
    </w:p>
    <w:p w14:paraId="684CA4A9" w14:textId="5F9F61BF" w:rsidR="00C5540D" w:rsidRDefault="00E533CB" w:rsidP="00CD0901">
      <w:pPr>
        <w:autoSpaceDE w:val="0"/>
        <w:autoSpaceDN w:val="0"/>
        <w:adjustRightInd w:val="0"/>
        <w:spacing w:after="0" w:line="240" w:lineRule="auto"/>
        <w:ind w:left="1440" w:hanging="1440"/>
        <w:rPr>
          <w:rFonts w:cs="TimesNewRomanPSMT"/>
        </w:rPr>
      </w:pPr>
      <w:r>
        <w:rPr>
          <w:rFonts w:cs="TimesNewRomanPSMT"/>
        </w:rPr>
        <w:t>2007 &amp; 2008</w:t>
      </w:r>
      <w:r w:rsidR="00C5540D" w:rsidRPr="00C5540D">
        <w:rPr>
          <w:rFonts w:cs="TimesNewRomanPSMT"/>
        </w:rPr>
        <w:tab/>
      </w:r>
      <w:r>
        <w:rPr>
          <w:rFonts w:cs="TimesNewRomanPSMT"/>
        </w:rPr>
        <w:t xml:space="preserve">Psychology of Mathematics Education, North America (PME-NA) </w:t>
      </w:r>
    </w:p>
    <w:p w14:paraId="4F324131" w14:textId="77777777" w:rsidR="00CD0901" w:rsidRDefault="00CD0901" w:rsidP="00CD0901">
      <w:pPr>
        <w:autoSpaceDE w:val="0"/>
        <w:autoSpaceDN w:val="0"/>
        <w:adjustRightInd w:val="0"/>
        <w:spacing w:after="0" w:line="240" w:lineRule="auto"/>
        <w:ind w:left="1440" w:hanging="1440"/>
        <w:rPr>
          <w:rFonts w:cs="TimesNewRomanPSMT"/>
        </w:rPr>
      </w:pPr>
    </w:p>
    <w:p w14:paraId="084514DF" w14:textId="7906C5CA" w:rsidR="00E533CB" w:rsidRPr="00E533CB" w:rsidRDefault="00E533CB" w:rsidP="00E533CB">
      <w:pPr>
        <w:tabs>
          <w:tab w:val="left" w:pos="720"/>
        </w:tabs>
        <w:autoSpaceDE w:val="0"/>
        <w:autoSpaceDN w:val="0"/>
        <w:adjustRightInd w:val="0"/>
        <w:spacing w:after="0" w:line="240" w:lineRule="auto"/>
        <w:ind w:left="720"/>
        <w:outlineLvl w:val="0"/>
        <w:rPr>
          <w:rFonts w:cs="TimesNewRomanPSMT"/>
          <w:b/>
        </w:rPr>
      </w:pPr>
      <w:r>
        <w:rPr>
          <w:rFonts w:cs="TimesNewRomanPSMT"/>
          <w:b/>
        </w:rPr>
        <w:t>Other</w:t>
      </w:r>
      <w:r w:rsidRPr="00C5540D">
        <w:rPr>
          <w:rFonts w:cs="TimesNewRomanPSMT"/>
          <w:b/>
        </w:rPr>
        <w:t xml:space="preserve"> Proposals</w:t>
      </w:r>
    </w:p>
    <w:p w14:paraId="4ABDD21B" w14:textId="4A277001" w:rsidR="00E533CB" w:rsidRDefault="00E533CB" w:rsidP="00CD0901">
      <w:pPr>
        <w:autoSpaceDE w:val="0"/>
        <w:autoSpaceDN w:val="0"/>
        <w:adjustRightInd w:val="0"/>
        <w:spacing w:after="0" w:line="240" w:lineRule="auto"/>
        <w:ind w:left="1440" w:hanging="1440"/>
        <w:rPr>
          <w:rFonts w:cs="TimesNewRomanPSMT"/>
        </w:rPr>
      </w:pPr>
      <w:r>
        <w:rPr>
          <w:rFonts w:cs="TimesNewRomanPSMT"/>
        </w:rPr>
        <w:t>2006</w:t>
      </w:r>
      <w:r>
        <w:rPr>
          <w:rFonts w:cs="TimesNewRomanPSMT"/>
        </w:rPr>
        <w:tab/>
        <w:t>National Science Foundation, Preliminary Proposals for D</w:t>
      </w:r>
      <w:r w:rsidR="00636A24">
        <w:rPr>
          <w:rFonts w:cs="TimesNewRomanPSMT"/>
        </w:rPr>
        <w:t xml:space="preserve">iscovery Research </w:t>
      </w:r>
      <w:r>
        <w:rPr>
          <w:rFonts w:cs="TimesNewRomanPSMT"/>
        </w:rPr>
        <w:t>K</w:t>
      </w:r>
      <w:r w:rsidR="00636A24">
        <w:rPr>
          <w:rFonts w:cs="TimesNewRomanPSMT"/>
        </w:rPr>
        <w:t>-</w:t>
      </w:r>
      <w:r>
        <w:rPr>
          <w:rFonts w:cs="TimesNewRomanPSMT"/>
        </w:rPr>
        <w:t xml:space="preserve">12 </w:t>
      </w:r>
    </w:p>
    <w:p w14:paraId="6F324586" w14:textId="77777777" w:rsidR="00E533CB" w:rsidRDefault="00E533CB" w:rsidP="00CD0901">
      <w:pPr>
        <w:autoSpaceDE w:val="0"/>
        <w:autoSpaceDN w:val="0"/>
        <w:adjustRightInd w:val="0"/>
        <w:spacing w:after="0" w:line="240" w:lineRule="auto"/>
        <w:ind w:left="1440" w:hanging="1440"/>
        <w:rPr>
          <w:rFonts w:cs="TimesNewRomanPSMT"/>
        </w:rPr>
      </w:pPr>
    </w:p>
    <w:p w14:paraId="28821510" w14:textId="13DED577" w:rsidR="00B2073E" w:rsidRDefault="00E533CB" w:rsidP="00E533CB">
      <w:pPr>
        <w:autoSpaceDE w:val="0"/>
        <w:autoSpaceDN w:val="0"/>
        <w:adjustRightInd w:val="0"/>
        <w:spacing w:after="0" w:line="240" w:lineRule="auto"/>
        <w:ind w:left="1440" w:hanging="1440"/>
        <w:rPr>
          <w:rFonts w:cs="TimesNewRomanPSMT"/>
        </w:rPr>
      </w:pPr>
      <w:r>
        <w:rPr>
          <w:rFonts w:cs="TimesNewRomanPSMT"/>
        </w:rPr>
        <w:t>2005 &amp; 2006</w:t>
      </w:r>
      <w:r w:rsidR="00C5540D" w:rsidRPr="00C5540D">
        <w:rPr>
          <w:rFonts w:cs="TimesNewRomanPSMT"/>
        </w:rPr>
        <w:tab/>
      </w:r>
      <w:r w:rsidRPr="00E533CB">
        <w:rPr>
          <w:rFonts w:cs="TimesNewRomanPSMT"/>
        </w:rPr>
        <w:t>Pen</w:t>
      </w:r>
      <w:r>
        <w:rPr>
          <w:rFonts w:cs="TimesNewRomanPSMT"/>
        </w:rPr>
        <w:t>nsylvania Council of Teachers of Mathematics Yearbooks</w:t>
      </w:r>
    </w:p>
    <w:p w14:paraId="66AFEC1A" w14:textId="77777777" w:rsidR="00E533CB" w:rsidRDefault="00E533CB" w:rsidP="00E533CB">
      <w:pPr>
        <w:autoSpaceDE w:val="0"/>
        <w:autoSpaceDN w:val="0"/>
        <w:adjustRightInd w:val="0"/>
        <w:spacing w:after="0" w:line="240" w:lineRule="auto"/>
        <w:ind w:left="1440" w:hanging="1440"/>
        <w:rPr>
          <w:rFonts w:cs="TimesNewRomanPSMT"/>
        </w:rPr>
      </w:pPr>
    </w:p>
    <w:p w14:paraId="63BE28FA" w14:textId="09082526" w:rsidR="0070736B" w:rsidRPr="00CF582E" w:rsidRDefault="001003EE" w:rsidP="0070736B">
      <w:pPr>
        <w:autoSpaceDE w:val="0"/>
        <w:autoSpaceDN w:val="0"/>
        <w:adjustRightInd w:val="0"/>
        <w:spacing w:after="0" w:line="240" w:lineRule="auto"/>
        <w:ind w:firstLine="360"/>
        <w:outlineLvl w:val="0"/>
        <w:rPr>
          <w:rFonts w:cs="TimesNewRomanPSMT"/>
          <w:i/>
        </w:rPr>
      </w:pPr>
      <w:r>
        <w:rPr>
          <w:rFonts w:cs="TimesNewRomanPSMT"/>
          <w:i/>
        </w:rPr>
        <w:t>COMMITTEE MEMBERSHIP</w:t>
      </w:r>
    </w:p>
    <w:p w14:paraId="7B8493B2" w14:textId="4FB3E2DD" w:rsidR="0070736B" w:rsidRPr="0070736B" w:rsidRDefault="0070736B" w:rsidP="0070736B">
      <w:pPr>
        <w:autoSpaceDE w:val="0"/>
        <w:autoSpaceDN w:val="0"/>
        <w:adjustRightInd w:val="0"/>
        <w:spacing w:after="0" w:line="240" w:lineRule="auto"/>
        <w:ind w:left="1440" w:hanging="1440"/>
        <w:rPr>
          <w:rFonts w:cs="TimesNewRomanPSMT"/>
          <w:b/>
        </w:rPr>
      </w:pPr>
      <w:r>
        <w:rPr>
          <w:rFonts w:cs="TimesNewRomanPSMT"/>
        </w:rPr>
        <w:t>11/2016</w:t>
      </w:r>
      <w:r>
        <w:rPr>
          <w:rFonts w:cs="TimesNewRomanPSMT"/>
        </w:rPr>
        <w:tab/>
        <w:t>Elementary Math Specialist Endorsement Committee, Colorado Department of Education</w:t>
      </w:r>
      <w:r>
        <w:rPr>
          <w:rFonts w:cs="TimesNewRomanPSMT"/>
        </w:rPr>
        <w:tab/>
      </w:r>
    </w:p>
    <w:p w14:paraId="216ED6C3" w14:textId="77777777" w:rsidR="00B2073E" w:rsidRDefault="00B2073E" w:rsidP="00BD2818">
      <w:pPr>
        <w:autoSpaceDE w:val="0"/>
        <w:autoSpaceDN w:val="0"/>
        <w:adjustRightInd w:val="0"/>
        <w:spacing w:after="0" w:line="240" w:lineRule="auto"/>
        <w:ind w:firstLine="360"/>
        <w:outlineLvl w:val="0"/>
        <w:rPr>
          <w:rFonts w:cs="TimesNewRomanPSMT"/>
          <w:i/>
        </w:rPr>
      </w:pPr>
    </w:p>
    <w:p w14:paraId="2FE75A22" w14:textId="77777777" w:rsidR="008F6D9F" w:rsidRPr="00CF582E" w:rsidRDefault="008F6D9F" w:rsidP="00BD2818">
      <w:pPr>
        <w:autoSpaceDE w:val="0"/>
        <w:autoSpaceDN w:val="0"/>
        <w:adjustRightInd w:val="0"/>
        <w:spacing w:after="0" w:line="240" w:lineRule="auto"/>
        <w:ind w:firstLine="360"/>
        <w:outlineLvl w:val="0"/>
        <w:rPr>
          <w:rFonts w:cs="TimesNewRomanPSMT"/>
          <w:i/>
        </w:rPr>
      </w:pPr>
      <w:r w:rsidRPr="00CF582E">
        <w:rPr>
          <w:rFonts w:cs="TimesNewRomanPSMT"/>
          <w:i/>
        </w:rPr>
        <w:t>CONSULTING</w:t>
      </w:r>
    </w:p>
    <w:p w14:paraId="47D4F55F" w14:textId="5AAE6451" w:rsidR="00CD0901" w:rsidRDefault="00CD0901" w:rsidP="00CD0901">
      <w:pPr>
        <w:autoSpaceDE w:val="0"/>
        <w:autoSpaceDN w:val="0"/>
        <w:adjustRightInd w:val="0"/>
        <w:spacing w:after="0" w:line="240" w:lineRule="auto"/>
        <w:ind w:left="1440" w:hanging="1440"/>
        <w:rPr>
          <w:rFonts w:cs="TimesNewRomanPSMT"/>
        </w:rPr>
      </w:pPr>
      <w:r>
        <w:rPr>
          <w:rFonts w:cs="TimesNewRomanPSMT"/>
        </w:rPr>
        <w:t>7/2014</w:t>
      </w:r>
      <w:r>
        <w:rPr>
          <w:rFonts w:cs="TimesNewRomanPSMT"/>
        </w:rPr>
        <w:tab/>
        <w:t>Mathematics Course Consultant. HOPE Online Learning Academy</w:t>
      </w:r>
      <w:r w:rsidRPr="00F66E46">
        <w:rPr>
          <w:rFonts w:cs="TimesNewRomanPSMT"/>
        </w:rPr>
        <w:t xml:space="preserve">, </w:t>
      </w:r>
      <w:r>
        <w:rPr>
          <w:rFonts w:cs="TimesNewRomanPSMT"/>
        </w:rPr>
        <w:t>Douglas County Public Schools, Englewood, CO.</w:t>
      </w:r>
    </w:p>
    <w:p w14:paraId="2AE8781B" w14:textId="791D205E" w:rsidR="00C317AB" w:rsidRPr="00A70673" w:rsidRDefault="00C317AB" w:rsidP="00A70673">
      <w:pPr>
        <w:autoSpaceDE w:val="0"/>
        <w:autoSpaceDN w:val="0"/>
        <w:adjustRightInd w:val="0"/>
        <w:spacing w:after="0" w:line="240" w:lineRule="auto"/>
        <w:outlineLvl w:val="0"/>
        <w:rPr>
          <w:rFonts w:cs="TimesNewRomanPSMT"/>
          <w:b/>
        </w:rPr>
      </w:pPr>
    </w:p>
    <w:p w14:paraId="3288F23D" w14:textId="18972E0D" w:rsidR="00A70673" w:rsidRDefault="00A70673" w:rsidP="00A70673">
      <w:pPr>
        <w:widowControl w:val="0"/>
        <w:tabs>
          <w:tab w:val="left" w:pos="1440"/>
        </w:tabs>
        <w:autoSpaceDE w:val="0"/>
        <w:autoSpaceDN w:val="0"/>
        <w:adjustRightInd w:val="0"/>
        <w:spacing w:after="0" w:line="240" w:lineRule="auto"/>
        <w:ind w:left="1440" w:hanging="1447"/>
        <w:rPr>
          <w:rFonts w:cs="Times New Roman"/>
        </w:rPr>
      </w:pPr>
    </w:p>
    <w:sectPr w:rsidR="00A70673" w:rsidSect="00534F28">
      <w:headerReference w:type="even" r:id="rId9"/>
      <w:headerReference w:type="default" r:id="rId10"/>
      <w:footerReference w:type="even" r:id="rId11"/>
      <w:footerReference w:type="default" r:id="rId12"/>
      <w:endnotePr>
        <w:numFmt w:val="decimal"/>
      </w:endnotePr>
      <w:type w:val="continuous"/>
      <w:pgSz w:w="12240" w:h="15840"/>
      <w:pgMar w:top="1440" w:right="1440" w:bottom="1440" w:left="1440" w:header="720" w:footer="8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8CA5A" w14:textId="77777777" w:rsidR="002A0105" w:rsidRDefault="002A0105" w:rsidP="00C97C7D">
      <w:pPr>
        <w:spacing w:after="0" w:line="240" w:lineRule="auto"/>
      </w:pPr>
      <w:r>
        <w:separator/>
      </w:r>
    </w:p>
  </w:endnote>
  <w:endnote w:type="continuationSeparator" w:id="0">
    <w:p w14:paraId="5DE8BB28" w14:textId="77777777" w:rsidR="002A0105" w:rsidRDefault="002A0105" w:rsidP="00C9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717A" w14:textId="77777777" w:rsidR="002A0105" w:rsidRDefault="002A0105" w:rsidP="00030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2F4E2" w14:textId="77777777" w:rsidR="002A0105" w:rsidRDefault="002A0105" w:rsidP="00861E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01AE" w14:textId="77777777" w:rsidR="002A0105" w:rsidRPr="007E3A71" w:rsidRDefault="002A0105" w:rsidP="00030CF7">
    <w:pPr>
      <w:pStyle w:val="Footer"/>
      <w:framePr w:wrap="around" w:vAnchor="text" w:hAnchor="margin" w:xAlign="right" w:y="1"/>
      <w:rPr>
        <w:rStyle w:val="PageNumber"/>
        <w:sz w:val="20"/>
        <w:szCs w:val="20"/>
      </w:rPr>
    </w:pPr>
    <w:r w:rsidRPr="007E3A71">
      <w:rPr>
        <w:rStyle w:val="PageNumber"/>
        <w:sz w:val="20"/>
        <w:szCs w:val="20"/>
      </w:rPr>
      <w:fldChar w:fldCharType="begin"/>
    </w:r>
    <w:r w:rsidRPr="007E3A71">
      <w:rPr>
        <w:rStyle w:val="PageNumber"/>
        <w:sz w:val="20"/>
        <w:szCs w:val="20"/>
      </w:rPr>
      <w:instrText xml:space="preserve">PAGE  </w:instrText>
    </w:r>
    <w:r w:rsidRPr="007E3A71">
      <w:rPr>
        <w:rStyle w:val="PageNumber"/>
        <w:sz w:val="20"/>
        <w:szCs w:val="20"/>
      </w:rPr>
      <w:fldChar w:fldCharType="separate"/>
    </w:r>
    <w:r w:rsidR="009244BF">
      <w:rPr>
        <w:rStyle w:val="PageNumber"/>
        <w:noProof/>
        <w:sz w:val="20"/>
        <w:szCs w:val="20"/>
      </w:rPr>
      <w:t>1</w:t>
    </w:r>
    <w:r w:rsidRPr="007E3A71">
      <w:rPr>
        <w:rStyle w:val="PageNumber"/>
        <w:sz w:val="20"/>
        <w:szCs w:val="20"/>
      </w:rPr>
      <w:fldChar w:fldCharType="end"/>
    </w:r>
  </w:p>
  <w:p w14:paraId="52A2FE2A" w14:textId="22569F0C" w:rsidR="002A0105" w:rsidRPr="007E3A71" w:rsidRDefault="002A0105" w:rsidP="00861EDD">
    <w:pPr>
      <w:pStyle w:val="Footer"/>
      <w:ind w:right="360"/>
      <w:rPr>
        <w:sz w:val="20"/>
        <w:szCs w:val="20"/>
      </w:rPr>
    </w:pPr>
    <w:r w:rsidRPr="007E3A71">
      <w:rPr>
        <w:sz w:val="20"/>
        <w:szCs w:val="20"/>
      </w:rPr>
      <w:t xml:space="preserve">Updated </w:t>
    </w:r>
    <w:r w:rsidR="009244BF">
      <w:rPr>
        <w:sz w:val="20"/>
        <w:szCs w:val="20"/>
      </w:rPr>
      <w:t>07/03</w:t>
    </w:r>
    <w:r>
      <w:rPr>
        <w:sz w:val="20"/>
        <w:szCs w:val="20"/>
      </w:rPr>
      <w:t>/2019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D836A" w14:textId="77777777" w:rsidR="002A0105" w:rsidRDefault="002A0105" w:rsidP="00C97C7D">
      <w:pPr>
        <w:spacing w:after="0" w:line="240" w:lineRule="auto"/>
      </w:pPr>
      <w:r>
        <w:separator/>
      </w:r>
    </w:p>
  </w:footnote>
  <w:footnote w:type="continuationSeparator" w:id="0">
    <w:p w14:paraId="5B2F33FD" w14:textId="77777777" w:rsidR="002A0105" w:rsidRDefault="002A0105" w:rsidP="00C97C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AA03" w14:textId="77777777" w:rsidR="002A0105" w:rsidRDefault="002A0105" w:rsidP="00572B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3FD81" w14:textId="77777777" w:rsidR="002A0105" w:rsidRDefault="002A0105" w:rsidP="000525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8D38" w14:textId="1BC1964D" w:rsidR="002A0105" w:rsidRPr="000D05D0" w:rsidRDefault="002A0105" w:rsidP="000D05D0">
    <w:pPr>
      <w:pStyle w:val="Header"/>
      <w:jc w:val="center"/>
    </w:pPr>
    <w:r>
      <w:t>McClintock, E. D. Vita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4F27"/>
    <w:multiLevelType w:val="hybridMultilevel"/>
    <w:tmpl w:val="C6A64F4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15555CB"/>
    <w:multiLevelType w:val="multilevel"/>
    <w:tmpl w:val="3B3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4C2BC1"/>
    <w:multiLevelType w:val="hybridMultilevel"/>
    <w:tmpl w:val="FBA476C2"/>
    <w:lvl w:ilvl="0" w:tplc="4C50F0BC">
      <w:start w:val="2010"/>
      <w:numFmt w:val="bullet"/>
      <w:lvlText w:val=""/>
      <w:lvlJc w:val="left"/>
      <w:pPr>
        <w:ind w:left="720" w:hanging="360"/>
      </w:pPr>
      <w:rPr>
        <w:rFonts w:ascii="Symbol" w:eastAsiaTheme="minorHAnsi" w:hAnsi="Symbol" w:cs="Lucida Grande"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0097B"/>
    <w:multiLevelType w:val="hybridMultilevel"/>
    <w:tmpl w:val="C2C0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7D"/>
    <w:rsid w:val="000022DD"/>
    <w:rsid w:val="0000560D"/>
    <w:rsid w:val="000072A8"/>
    <w:rsid w:val="00011414"/>
    <w:rsid w:val="00015589"/>
    <w:rsid w:val="00025365"/>
    <w:rsid w:val="00030CF7"/>
    <w:rsid w:val="0003131A"/>
    <w:rsid w:val="000377DF"/>
    <w:rsid w:val="0004014D"/>
    <w:rsid w:val="00042918"/>
    <w:rsid w:val="0004465A"/>
    <w:rsid w:val="000471DC"/>
    <w:rsid w:val="0005250A"/>
    <w:rsid w:val="00056710"/>
    <w:rsid w:val="00061EA4"/>
    <w:rsid w:val="000621A2"/>
    <w:rsid w:val="00066AEF"/>
    <w:rsid w:val="000701DD"/>
    <w:rsid w:val="000764F8"/>
    <w:rsid w:val="00080B54"/>
    <w:rsid w:val="0008121C"/>
    <w:rsid w:val="0008176C"/>
    <w:rsid w:val="00081FC2"/>
    <w:rsid w:val="00090ADD"/>
    <w:rsid w:val="00091EC5"/>
    <w:rsid w:val="00094D46"/>
    <w:rsid w:val="00094ECE"/>
    <w:rsid w:val="00095333"/>
    <w:rsid w:val="000A0746"/>
    <w:rsid w:val="000A0F69"/>
    <w:rsid w:val="000A5125"/>
    <w:rsid w:val="000A7753"/>
    <w:rsid w:val="000A7F18"/>
    <w:rsid w:val="000B0529"/>
    <w:rsid w:val="000C14B1"/>
    <w:rsid w:val="000C356E"/>
    <w:rsid w:val="000C5630"/>
    <w:rsid w:val="000C6D7A"/>
    <w:rsid w:val="000D05D0"/>
    <w:rsid w:val="000D260C"/>
    <w:rsid w:val="000D489E"/>
    <w:rsid w:val="000D4B96"/>
    <w:rsid w:val="000E0563"/>
    <w:rsid w:val="000E2263"/>
    <w:rsid w:val="000E7D13"/>
    <w:rsid w:val="000F19C8"/>
    <w:rsid w:val="000F2ADC"/>
    <w:rsid w:val="000F2EF4"/>
    <w:rsid w:val="000F3D58"/>
    <w:rsid w:val="000F721C"/>
    <w:rsid w:val="001003EE"/>
    <w:rsid w:val="001028C8"/>
    <w:rsid w:val="001079FC"/>
    <w:rsid w:val="00111F62"/>
    <w:rsid w:val="00112034"/>
    <w:rsid w:val="00114CA6"/>
    <w:rsid w:val="00115494"/>
    <w:rsid w:val="00117C4D"/>
    <w:rsid w:val="00120219"/>
    <w:rsid w:val="001210AF"/>
    <w:rsid w:val="00121CD2"/>
    <w:rsid w:val="00125723"/>
    <w:rsid w:val="00126E6F"/>
    <w:rsid w:val="00126F80"/>
    <w:rsid w:val="00133BDA"/>
    <w:rsid w:val="00135891"/>
    <w:rsid w:val="00136AC5"/>
    <w:rsid w:val="00136E0D"/>
    <w:rsid w:val="001373DA"/>
    <w:rsid w:val="0013755D"/>
    <w:rsid w:val="00141FD2"/>
    <w:rsid w:val="0014409D"/>
    <w:rsid w:val="00144267"/>
    <w:rsid w:val="00144E81"/>
    <w:rsid w:val="0014664F"/>
    <w:rsid w:val="00150B5B"/>
    <w:rsid w:val="0015121E"/>
    <w:rsid w:val="001525C2"/>
    <w:rsid w:val="00154359"/>
    <w:rsid w:val="001561DF"/>
    <w:rsid w:val="0016070C"/>
    <w:rsid w:val="00165173"/>
    <w:rsid w:val="00171112"/>
    <w:rsid w:val="001716C8"/>
    <w:rsid w:val="00176731"/>
    <w:rsid w:val="001818B6"/>
    <w:rsid w:val="001841C8"/>
    <w:rsid w:val="001920EA"/>
    <w:rsid w:val="0019654C"/>
    <w:rsid w:val="0019661E"/>
    <w:rsid w:val="001A3479"/>
    <w:rsid w:val="001A5D54"/>
    <w:rsid w:val="001A6787"/>
    <w:rsid w:val="001B353B"/>
    <w:rsid w:val="001B502A"/>
    <w:rsid w:val="001C0D20"/>
    <w:rsid w:val="001C1970"/>
    <w:rsid w:val="001C2CD6"/>
    <w:rsid w:val="001C7A79"/>
    <w:rsid w:val="001D365C"/>
    <w:rsid w:val="001E056D"/>
    <w:rsid w:val="001E59DB"/>
    <w:rsid w:val="001E7FE1"/>
    <w:rsid w:val="001F0548"/>
    <w:rsid w:val="001F1B58"/>
    <w:rsid w:val="001F4561"/>
    <w:rsid w:val="001F6745"/>
    <w:rsid w:val="00200562"/>
    <w:rsid w:val="002062A8"/>
    <w:rsid w:val="00206420"/>
    <w:rsid w:val="0020662E"/>
    <w:rsid w:val="00207EDF"/>
    <w:rsid w:val="00211AF0"/>
    <w:rsid w:val="0021236F"/>
    <w:rsid w:val="00216597"/>
    <w:rsid w:val="002165DE"/>
    <w:rsid w:val="0021786E"/>
    <w:rsid w:val="0022033F"/>
    <w:rsid w:val="002209D0"/>
    <w:rsid w:val="002216FF"/>
    <w:rsid w:val="0022337E"/>
    <w:rsid w:val="00223870"/>
    <w:rsid w:val="002279C1"/>
    <w:rsid w:val="00243D44"/>
    <w:rsid w:val="00243EDD"/>
    <w:rsid w:val="00245229"/>
    <w:rsid w:val="002460BE"/>
    <w:rsid w:val="00252E84"/>
    <w:rsid w:val="0025393A"/>
    <w:rsid w:val="00253D05"/>
    <w:rsid w:val="00261072"/>
    <w:rsid w:val="00261C3E"/>
    <w:rsid w:val="002639AA"/>
    <w:rsid w:val="00263F2B"/>
    <w:rsid w:val="00264F61"/>
    <w:rsid w:val="00273D97"/>
    <w:rsid w:val="00274147"/>
    <w:rsid w:val="00276128"/>
    <w:rsid w:val="0027754D"/>
    <w:rsid w:val="002959CC"/>
    <w:rsid w:val="002978B2"/>
    <w:rsid w:val="002A0105"/>
    <w:rsid w:val="002A4AC1"/>
    <w:rsid w:val="002A6D68"/>
    <w:rsid w:val="002B13D0"/>
    <w:rsid w:val="002B19E8"/>
    <w:rsid w:val="002B5ED0"/>
    <w:rsid w:val="002B6422"/>
    <w:rsid w:val="002B649E"/>
    <w:rsid w:val="002B6845"/>
    <w:rsid w:val="002C0CEF"/>
    <w:rsid w:val="002C0EA0"/>
    <w:rsid w:val="002C1096"/>
    <w:rsid w:val="002C343D"/>
    <w:rsid w:val="002C3CC9"/>
    <w:rsid w:val="002C40A3"/>
    <w:rsid w:val="002C4E74"/>
    <w:rsid w:val="002D1F20"/>
    <w:rsid w:val="002D2080"/>
    <w:rsid w:val="002D251D"/>
    <w:rsid w:val="002D350A"/>
    <w:rsid w:val="002D458C"/>
    <w:rsid w:val="002D501A"/>
    <w:rsid w:val="002D6C08"/>
    <w:rsid w:val="002E1B3A"/>
    <w:rsid w:val="002E2123"/>
    <w:rsid w:val="002E5F7C"/>
    <w:rsid w:val="002F1D7A"/>
    <w:rsid w:val="002F28E9"/>
    <w:rsid w:val="002F618F"/>
    <w:rsid w:val="002F7847"/>
    <w:rsid w:val="00300981"/>
    <w:rsid w:val="00301EAA"/>
    <w:rsid w:val="00301F60"/>
    <w:rsid w:val="0030364D"/>
    <w:rsid w:val="003059B3"/>
    <w:rsid w:val="00307140"/>
    <w:rsid w:val="003104D2"/>
    <w:rsid w:val="00311D13"/>
    <w:rsid w:val="00314017"/>
    <w:rsid w:val="00315EBD"/>
    <w:rsid w:val="003210F3"/>
    <w:rsid w:val="0032118F"/>
    <w:rsid w:val="0032370D"/>
    <w:rsid w:val="00325000"/>
    <w:rsid w:val="00325130"/>
    <w:rsid w:val="003335DF"/>
    <w:rsid w:val="00334B8D"/>
    <w:rsid w:val="00340820"/>
    <w:rsid w:val="0035072C"/>
    <w:rsid w:val="00350926"/>
    <w:rsid w:val="00350951"/>
    <w:rsid w:val="003509A2"/>
    <w:rsid w:val="0035162F"/>
    <w:rsid w:val="00355E38"/>
    <w:rsid w:val="00356A6E"/>
    <w:rsid w:val="003627E6"/>
    <w:rsid w:val="003634D4"/>
    <w:rsid w:val="00365313"/>
    <w:rsid w:val="0036682F"/>
    <w:rsid w:val="0038102C"/>
    <w:rsid w:val="003829B3"/>
    <w:rsid w:val="00382C3E"/>
    <w:rsid w:val="00383431"/>
    <w:rsid w:val="00383909"/>
    <w:rsid w:val="00384972"/>
    <w:rsid w:val="0038576B"/>
    <w:rsid w:val="00392F05"/>
    <w:rsid w:val="003A1820"/>
    <w:rsid w:val="003A2096"/>
    <w:rsid w:val="003A2FED"/>
    <w:rsid w:val="003A672E"/>
    <w:rsid w:val="003A6F42"/>
    <w:rsid w:val="003A700A"/>
    <w:rsid w:val="003B05FF"/>
    <w:rsid w:val="003B2CAB"/>
    <w:rsid w:val="003B7AD5"/>
    <w:rsid w:val="003C52BE"/>
    <w:rsid w:val="003C68FE"/>
    <w:rsid w:val="003C766B"/>
    <w:rsid w:val="003D3D85"/>
    <w:rsid w:val="003D6743"/>
    <w:rsid w:val="003E21CB"/>
    <w:rsid w:val="003E46D3"/>
    <w:rsid w:val="003E4992"/>
    <w:rsid w:val="003F1437"/>
    <w:rsid w:val="003F1722"/>
    <w:rsid w:val="003F279C"/>
    <w:rsid w:val="003F5883"/>
    <w:rsid w:val="003F5FC6"/>
    <w:rsid w:val="003F72D7"/>
    <w:rsid w:val="003F7B67"/>
    <w:rsid w:val="003F7BBF"/>
    <w:rsid w:val="00405BD3"/>
    <w:rsid w:val="00412CFE"/>
    <w:rsid w:val="00417B8B"/>
    <w:rsid w:val="00424A83"/>
    <w:rsid w:val="00430BD5"/>
    <w:rsid w:val="00430E28"/>
    <w:rsid w:val="004319F5"/>
    <w:rsid w:val="00432A27"/>
    <w:rsid w:val="00435C84"/>
    <w:rsid w:val="00440C7F"/>
    <w:rsid w:val="0044185E"/>
    <w:rsid w:val="0044194A"/>
    <w:rsid w:val="00443F0D"/>
    <w:rsid w:val="00447325"/>
    <w:rsid w:val="00450B30"/>
    <w:rsid w:val="00451B25"/>
    <w:rsid w:val="00453E8F"/>
    <w:rsid w:val="004605CD"/>
    <w:rsid w:val="00460609"/>
    <w:rsid w:val="004608BC"/>
    <w:rsid w:val="0046146E"/>
    <w:rsid w:val="004616F9"/>
    <w:rsid w:val="004618B2"/>
    <w:rsid w:val="0046313E"/>
    <w:rsid w:val="0046327B"/>
    <w:rsid w:val="00466706"/>
    <w:rsid w:val="0046790B"/>
    <w:rsid w:val="004707A3"/>
    <w:rsid w:val="00470A01"/>
    <w:rsid w:val="00474A8A"/>
    <w:rsid w:val="00475CBB"/>
    <w:rsid w:val="00483BF1"/>
    <w:rsid w:val="0048422D"/>
    <w:rsid w:val="00487EB5"/>
    <w:rsid w:val="004914D9"/>
    <w:rsid w:val="00493122"/>
    <w:rsid w:val="00496FD4"/>
    <w:rsid w:val="004A4983"/>
    <w:rsid w:val="004A629F"/>
    <w:rsid w:val="004B0871"/>
    <w:rsid w:val="004B4487"/>
    <w:rsid w:val="004B4579"/>
    <w:rsid w:val="004B505F"/>
    <w:rsid w:val="004C018A"/>
    <w:rsid w:val="004C099C"/>
    <w:rsid w:val="004D52D6"/>
    <w:rsid w:val="004E1615"/>
    <w:rsid w:val="004E3220"/>
    <w:rsid w:val="004E79FF"/>
    <w:rsid w:val="004F1EB4"/>
    <w:rsid w:val="004F2099"/>
    <w:rsid w:val="004F257B"/>
    <w:rsid w:val="004F280B"/>
    <w:rsid w:val="004F481E"/>
    <w:rsid w:val="004F7CE8"/>
    <w:rsid w:val="005066FE"/>
    <w:rsid w:val="005123ED"/>
    <w:rsid w:val="005128D3"/>
    <w:rsid w:val="00512BAD"/>
    <w:rsid w:val="00513E6E"/>
    <w:rsid w:val="00515B7D"/>
    <w:rsid w:val="0051714F"/>
    <w:rsid w:val="00522778"/>
    <w:rsid w:val="005241B1"/>
    <w:rsid w:val="0052561C"/>
    <w:rsid w:val="00525EBD"/>
    <w:rsid w:val="005274C5"/>
    <w:rsid w:val="00534F28"/>
    <w:rsid w:val="00540783"/>
    <w:rsid w:val="005424CE"/>
    <w:rsid w:val="00544194"/>
    <w:rsid w:val="00544670"/>
    <w:rsid w:val="00545B4D"/>
    <w:rsid w:val="00547FB6"/>
    <w:rsid w:val="00552D2E"/>
    <w:rsid w:val="005535FB"/>
    <w:rsid w:val="005614FB"/>
    <w:rsid w:val="0056253C"/>
    <w:rsid w:val="00566B9F"/>
    <w:rsid w:val="005672DD"/>
    <w:rsid w:val="00567A46"/>
    <w:rsid w:val="00567A53"/>
    <w:rsid w:val="0057263F"/>
    <w:rsid w:val="00572BDA"/>
    <w:rsid w:val="005738F5"/>
    <w:rsid w:val="00575867"/>
    <w:rsid w:val="00577435"/>
    <w:rsid w:val="005853E1"/>
    <w:rsid w:val="0058759E"/>
    <w:rsid w:val="0059096E"/>
    <w:rsid w:val="00591689"/>
    <w:rsid w:val="00592D3D"/>
    <w:rsid w:val="0059620C"/>
    <w:rsid w:val="00597AC3"/>
    <w:rsid w:val="005A04D6"/>
    <w:rsid w:val="005A3954"/>
    <w:rsid w:val="005A3B07"/>
    <w:rsid w:val="005A45CA"/>
    <w:rsid w:val="005A6F79"/>
    <w:rsid w:val="005B001B"/>
    <w:rsid w:val="005B0796"/>
    <w:rsid w:val="005B23C8"/>
    <w:rsid w:val="005B5398"/>
    <w:rsid w:val="005B705B"/>
    <w:rsid w:val="005B786C"/>
    <w:rsid w:val="005B7FCD"/>
    <w:rsid w:val="005C388C"/>
    <w:rsid w:val="005C3D94"/>
    <w:rsid w:val="005C7D33"/>
    <w:rsid w:val="005D1BE3"/>
    <w:rsid w:val="005D2A98"/>
    <w:rsid w:val="005D4E3A"/>
    <w:rsid w:val="005D7DCE"/>
    <w:rsid w:val="005E0541"/>
    <w:rsid w:val="005E3569"/>
    <w:rsid w:val="005E3C55"/>
    <w:rsid w:val="005E4925"/>
    <w:rsid w:val="005F0765"/>
    <w:rsid w:val="005F5655"/>
    <w:rsid w:val="005F5DA3"/>
    <w:rsid w:val="005F76FA"/>
    <w:rsid w:val="006010E3"/>
    <w:rsid w:val="0060241C"/>
    <w:rsid w:val="00611531"/>
    <w:rsid w:val="00611BC2"/>
    <w:rsid w:val="00621FB1"/>
    <w:rsid w:val="00623ECC"/>
    <w:rsid w:val="0062762D"/>
    <w:rsid w:val="00636344"/>
    <w:rsid w:val="006365E4"/>
    <w:rsid w:val="006367B5"/>
    <w:rsid w:val="00636A05"/>
    <w:rsid w:val="00636A24"/>
    <w:rsid w:val="0063757F"/>
    <w:rsid w:val="006402D7"/>
    <w:rsid w:val="00640FFB"/>
    <w:rsid w:val="00641953"/>
    <w:rsid w:val="00641F96"/>
    <w:rsid w:val="00645640"/>
    <w:rsid w:val="00651852"/>
    <w:rsid w:val="00656E1D"/>
    <w:rsid w:val="0066105C"/>
    <w:rsid w:val="006645A8"/>
    <w:rsid w:val="00665142"/>
    <w:rsid w:val="00676259"/>
    <w:rsid w:val="00677386"/>
    <w:rsid w:val="00680968"/>
    <w:rsid w:val="00680EE4"/>
    <w:rsid w:val="0068101C"/>
    <w:rsid w:val="00682C49"/>
    <w:rsid w:val="00683206"/>
    <w:rsid w:val="00684B37"/>
    <w:rsid w:val="00685106"/>
    <w:rsid w:val="00686F77"/>
    <w:rsid w:val="00687200"/>
    <w:rsid w:val="00693F54"/>
    <w:rsid w:val="006A2B21"/>
    <w:rsid w:val="006A7054"/>
    <w:rsid w:val="006A7E41"/>
    <w:rsid w:val="006B3CF4"/>
    <w:rsid w:val="006B4051"/>
    <w:rsid w:val="006B62D4"/>
    <w:rsid w:val="006B6EF9"/>
    <w:rsid w:val="006C05BE"/>
    <w:rsid w:val="006C1A76"/>
    <w:rsid w:val="006C5A0A"/>
    <w:rsid w:val="006C5AB6"/>
    <w:rsid w:val="006C5EE6"/>
    <w:rsid w:val="006C6C6B"/>
    <w:rsid w:val="006D003B"/>
    <w:rsid w:val="006D0688"/>
    <w:rsid w:val="006D127E"/>
    <w:rsid w:val="006D148A"/>
    <w:rsid w:val="006D5AE0"/>
    <w:rsid w:val="006D66C4"/>
    <w:rsid w:val="006E3676"/>
    <w:rsid w:val="006E468D"/>
    <w:rsid w:val="006E6152"/>
    <w:rsid w:val="006F0D34"/>
    <w:rsid w:val="006F7642"/>
    <w:rsid w:val="00701C6B"/>
    <w:rsid w:val="00703F9B"/>
    <w:rsid w:val="00706CFA"/>
    <w:rsid w:val="0070736B"/>
    <w:rsid w:val="007129B9"/>
    <w:rsid w:val="00717BE3"/>
    <w:rsid w:val="007274A0"/>
    <w:rsid w:val="007301DA"/>
    <w:rsid w:val="00730CF0"/>
    <w:rsid w:val="00732887"/>
    <w:rsid w:val="007349A6"/>
    <w:rsid w:val="00735E68"/>
    <w:rsid w:val="0073613E"/>
    <w:rsid w:val="00740C97"/>
    <w:rsid w:val="0074520B"/>
    <w:rsid w:val="00746131"/>
    <w:rsid w:val="007473B3"/>
    <w:rsid w:val="00751FB7"/>
    <w:rsid w:val="007529DB"/>
    <w:rsid w:val="00755B5D"/>
    <w:rsid w:val="00757FDB"/>
    <w:rsid w:val="007607D0"/>
    <w:rsid w:val="00761DBB"/>
    <w:rsid w:val="0077394B"/>
    <w:rsid w:val="00775A2B"/>
    <w:rsid w:val="007813F0"/>
    <w:rsid w:val="00786628"/>
    <w:rsid w:val="0078757A"/>
    <w:rsid w:val="007875D6"/>
    <w:rsid w:val="00787A8C"/>
    <w:rsid w:val="00790581"/>
    <w:rsid w:val="007936FF"/>
    <w:rsid w:val="007A7C03"/>
    <w:rsid w:val="007B2FA1"/>
    <w:rsid w:val="007B5C88"/>
    <w:rsid w:val="007B640B"/>
    <w:rsid w:val="007C1800"/>
    <w:rsid w:val="007C1A47"/>
    <w:rsid w:val="007C1F78"/>
    <w:rsid w:val="007C2037"/>
    <w:rsid w:val="007C3543"/>
    <w:rsid w:val="007C5124"/>
    <w:rsid w:val="007C5CA7"/>
    <w:rsid w:val="007C6B9E"/>
    <w:rsid w:val="007D0D4F"/>
    <w:rsid w:val="007D794F"/>
    <w:rsid w:val="007E05CA"/>
    <w:rsid w:val="007E3A71"/>
    <w:rsid w:val="007E4BDC"/>
    <w:rsid w:val="007E5DEC"/>
    <w:rsid w:val="007E6C0F"/>
    <w:rsid w:val="007F0FBB"/>
    <w:rsid w:val="007F33F9"/>
    <w:rsid w:val="007F354B"/>
    <w:rsid w:val="007F518F"/>
    <w:rsid w:val="00800A7A"/>
    <w:rsid w:val="00804A88"/>
    <w:rsid w:val="00805E0A"/>
    <w:rsid w:val="00806320"/>
    <w:rsid w:val="00807005"/>
    <w:rsid w:val="00807DBC"/>
    <w:rsid w:val="0081042A"/>
    <w:rsid w:val="0081181D"/>
    <w:rsid w:val="00813BF8"/>
    <w:rsid w:val="008156A4"/>
    <w:rsid w:val="00815D1E"/>
    <w:rsid w:val="008161AA"/>
    <w:rsid w:val="00820B21"/>
    <w:rsid w:val="00821F2C"/>
    <w:rsid w:val="00825A5B"/>
    <w:rsid w:val="00827D7B"/>
    <w:rsid w:val="00830949"/>
    <w:rsid w:val="008309B3"/>
    <w:rsid w:val="00830C3D"/>
    <w:rsid w:val="0083741F"/>
    <w:rsid w:val="0084454E"/>
    <w:rsid w:val="00845CDD"/>
    <w:rsid w:val="00847DBC"/>
    <w:rsid w:val="008546AC"/>
    <w:rsid w:val="00861EDD"/>
    <w:rsid w:val="008629CC"/>
    <w:rsid w:val="00863A87"/>
    <w:rsid w:val="00881934"/>
    <w:rsid w:val="00882714"/>
    <w:rsid w:val="0088302A"/>
    <w:rsid w:val="00885856"/>
    <w:rsid w:val="008907B9"/>
    <w:rsid w:val="008914F0"/>
    <w:rsid w:val="0089359D"/>
    <w:rsid w:val="0089544D"/>
    <w:rsid w:val="008977C0"/>
    <w:rsid w:val="008A6DEC"/>
    <w:rsid w:val="008A70A7"/>
    <w:rsid w:val="008A7402"/>
    <w:rsid w:val="008B194D"/>
    <w:rsid w:val="008B2DAF"/>
    <w:rsid w:val="008B4953"/>
    <w:rsid w:val="008B66B7"/>
    <w:rsid w:val="008C124F"/>
    <w:rsid w:val="008C1817"/>
    <w:rsid w:val="008C2961"/>
    <w:rsid w:val="008C3F4A"/>
    <w:rsid w:val="008C68DD"/>
    <w:rsid w:val="008C7122"/>
    <w:rsid w:val="008D313A"/>
    <w:rsid w:val="008D73DD"/>
    <w:rsid w:val="008E2F5F"/>
    <w:rsid w:val="008F4E93"/>
    <w:rsid w:val="008F6A16"/>
    <w:rsid w:val="008F6D9F"/>
    <w:rsid w:val="0090417B"/>
    <w:rsid w:val="009069A0"/>
    <w:rsid w:val="00913AA7"/>
    <w:rsid w:val="00914407"/>
    <w:rsid w:val="0091448C"/>
    <w:rsid w:val="00916D71"/>
    <w:rsid w:val="009244BF"/>
    <w:rsid w:val="00927446"/>
    <w:rsid w:val="00930DD1"/>
    <w:rsid w:val="009321AB"/>
    <w:rsid w:val="009342D0"/>
    <w:rsid w:val="009367A0"/>
    <w:rsid w:val="00940921"/>
    <w:rsid w:val="00942644"/>
    <w:rsid w:val="00942E03"/>
    <w:rsid w:val="00946A56"/>
    <w:rsid w:val="00946EC7"/>
    <w:rsid w:val="00952800"/>
    <w:rsid w:val="00952BF9"/>
    <w:rsid w:val="009552B7"/>
    <w:rsid w:val="00961BEA"/>
    <w:rsid w:val="00965A9A"/>
    <w:rsid w:val="009667F9"/>
    <w:rsid w:val="00966C5A"/>
    <w:rsid w:val="00970C47"/>
    <w:rsid w:val="00973772"/>
    <w:rsid w:val="00975E40"/>
    <w:rsid w:val="0097787D"/>
    <w:rsid w:val="00977AC6"/>
    <w:rsid w:val="00985A5E"/>
    <w:rsid w:val="009865D1"/>
    <w:rsid w:val="009865EE"/>
    <w:rsid w:val="00992BB9"/>
    <w:rsid w:val="00996CFC"/>
    <w:rsid w:val="009A0B29"/>
    <w:rsid w:val="009A13C6"/>
    <w:rsid w:val="009A2A96"/>
    <w:rsid w:val="009A31DA"/>
    <w:rsid w:val="009A3FA4"/>
    <w:rsid w:val="009A795B"/>
    <w:rsid w:val="009A798D"/>
    <w:rsid w:val="009B158D"/>
    <w:rsid w:val="009B19C5"/>
    <w:rsid w:val="009B2B20"/>
    <w:rsid w:val="009C3F15"/>
    <w:rsid w:val="009C405B"/>
    <w:rsid w:val="009C4316"/>
    <w:rsid w:val="009C4FA6"/>
    <w:rsid w:val="009C7E6A"/>
    <w:rsid w:val="009D10CE"/>
    <w:rsid w:val="009D117B"/>
    <w:rsid w:val="009D224F"/>
    <w:rsid w:val="009D526B"/>
    <w:rsid w:val="009E2039"/>
    <w:rsid w:val="009E2270"/>
    <w:rsid w:val="009E3515"/>
    <w:rsid w:val="009E3E9C"/>
    <w:rsid w:val="009E42A2"/>
    <w:rsid w:val="009E5539"/>
    <w:rsid w:val="009E5DAD"/>
    <w:rsid w:val="009E6637"/>
    <w:rsid w:val="009E7782"/>
    <w:rsid w:val="009F37EC"/>
    <w:rsid w:val="009F5105"/>
    <w:rsid w:val="009F6DEE"/>
    <w:rsid w:val="00A02A8F"/>
    <w:rsid w:val="00A033C4"/>
    <w:rsid w:val="00A0353B"/>
    <w:rsid w:val="00A04BF6"/>
    <w:rsid w:val="00A10166"/>
    <w:rsid w:val="00A12F25"/>
    <w:rsid w:val="00A13580"/>
    <w:rsid w:val="00A13BE9"/>
    <w:rsid w:val="00A17FAE"/>
    <w:rsid w:val="00A22150"/>
    <w:rsid w:val="00A23BEF"/>
    <w:rsid w:val="00A262D7"/>
    <w:rsid w:val="00A33487"/>
    <w:rsid w:val="00A334CD"/>
    <w:rsid w:val="00A338FC"/>
    <w:rsid w:val="00A33FD9"/>
    <w:rsid w:val="00A36155"/>
    <w:rsid w:val="00A3786F"/>
    <w:rsid w:val="00A426E3"/>
    <w:rsid w:val="00A44143"/>
    <w:rsid w:val="00A52E47"/>
    <w:rsid w:val="00A52F45"/>
    <w:rsid w:val="00A54FD1"/>
    <w:rsid w:val="00A56D33"/>
    <w:rsid w:val="00A70673"/>
    <w:rsid w:val="00A74EE1"/>
    <w:rsid w:val="00A81742"/>
    <w:rsid w:val="00A8206F"/>
    <w:rsid w:val="00A82346"/>
    <w:rsid w:val="00A854F0"/>
    <w:rsid w:val="00A92271"/>
    <w:rsid w:val="00A9244C"/>
    <w:rsid w:val="00A950D1"/>
    <w:rsid w:val="00AA1814"/>
    <w:rsid w:val="00AA515B"/>
    <w:rsid w:val="00AB0F13"/>
    <w:rsid w:val="00AB1CCA"/>
    <w:rsid w:val="00AB1D85"/>
    <w:rsid w:val="00AB26FB"/>
    <w:rsid w:val="00AB7339"/>
    <w:rsid w:val="00AB763D"/>
    <w:rsid w:val="00AC2C80"/>
    <w:rsid w:val="00AD0011"/>
    <w:rsid w:val="00AD0054"/>
    <w:rsid w:val="00AD15EE"/>
    <w:rsid w:val="00AD3E3F"/>
    <w:rsid w:val="00AD5C46"/>
    <w:rsid w:val="00AD7F46"/>
    <w:rsid w:val="00AE008D"/>
    <w:rsid w:val="00AE1277"/>
    <w:rsid w:val="00AE1343"/>
    <w:rsid w:val="00AE3A08"/>
    <w:rsid w:val="00AE5D27"/>
    <w:rsid w:val="00AE7D68"/>
    <w:rsid w:val="00AF01A0"/>
    <w:rsid w:val="00B05FC9"/>
    <w:rsid w:val="00B114AA"/>
    <w:rsid w:val="00B1237A"/>
    <w:rsid w:val="00B12898"/>
    <w:rsid w:val="00B13D62"/>
    <w:rsid w:val="00B14637"/>
    <w:rsid w:val="00B16BB2"/>
    <w:rsid w:val="00B17CBB"/>
    <w:rsid w:val="00B2073E"/>
    <w:rsid w:val="00B213E3"/>
    <w:rsid w:val="00B26F56"/>
    <w:rsid w:val="00B27FFC"/>
    <w:rsid w:val="00B3188D"/>
    <w:rsid w:val="00B32069"/>
    <w:rsid w:val="00B329D2"/>
    <w:rsid w:val="00B430F6"/>
    <w:rsid w:val="00B4335F"/>
    <w:rsid w:val="00B47531"/>
    <w:rsid w:val="00B477CB"/>
    <w:rsid w:val="00B56233"/>
    <w:rsid w:val="00B567A0"/>
    <w:rsid w:val="00B61D63"/>
    <w:rsid w:val="00B71A03"/>
    <w:rsid w:val="00B733AC"/>
    <w:rsid w:val="00B73C7A"/>
    <w:rsid w:val="00B744BC"/>
    <w:rsid w:val="00B74ABD"/>
    <w:rsid w:val="00B755CA"/>
    <w:rsid w:val="00B75B4D"/>
    <w:rsid w:val="00B76B23"/>
    <w:rsid w:val="00B779AC"/>
    <w:rsid w:val="00B808CB"/>
    <w:rsid w:val="00B83068"/>
    <w:rsid w:val="00B93A0C"/>
    <w:rsid w:val="00B96C93"/>
    <w:rsid w:val="00B97356"/>
    <w:rsid w:val="00B978D0"/>
    <w:rsid w:val="00BA239D"/>
    <w:rsid w:val="00BA2787"/>
    <w:rsid w:val="00BA3887"/>
    <w:rsid w:val="00BA4004"/>
    <w:rsid w:val="00BA4724"/>
    <w:rsid w:val="00BA5990"/>
    <w:rsid w:val="00BA7474"/>
    <w:rsid w:val="00BB315B"/>
    <w:rsid w:val="00BB70B8"/>
    <w:rsid w:val="00BB7BB3"/>
    <w:rsid w:val="00BC28B0"/>
    <w:rsid w:val="00BC3CEE"/>
    <w:rsid w:val="00BD1BBB"/>
    <w:rsid w:val="00BD2818"/>
    <w:rsid w:val="00BD56D1"/>
    <w:rsid w:val="00BE21DD"/>
    <w:rsid w:val="00BE2705"/>
    <w:rsid w:val="00BE7C0E"/>
    <w:rsid w:val="00BF0485"/>
    <w:rsid w:val="00BF1C1C"/>
    <w:rsid w:val="00C01A8D"/>
    <w:rsid w:val="00C07304"/>
    <w:rsid w:val="00C10D8B"/>
    <w:rsid w:val="00C116B4"/>
    <w:rsid w:val="00C12E85"/>
    <w:rsid w:val="00C17DAE"/>
    <w:rsid w:val="00C208C4"/>
    <w:rsid w:val="00C2110B"/>
    <w:rsid w:val="00C218B3"/>
    <w:rsid w:val="00C317AB"/>
    <w:rsid w:val="00C32157"/>
    <w:rsid w:val="00C335EE"/>
    <w:rsid w:val="00C4089E"/>
    <w:rsid w:val="00C46CF5"/>
    <w:rsid w:val="00C50D20"/>
    <w:rsid w:val="00C522CE"/>
    <w:rsid w:val="00C5540D"/>
    <w:rsid w:val="00C57326"/>
    <w:rsid w:val="00C576A6"/>
    <w:rsid w:val="00C639C3"/>
    <w:rsid w:val="00C64244"/>
    <w:rsid w:val="00C64EF9"/>
    <w:rsid w:val="00C65A21"/>
    <w:rsid w:val="00C65FF8"/>
    <w:rsid w:val="00C741E6"/>
    <w:rsid w:val="00C76578"/>
    <w:rsid w:val="00C77CF2"/>
    <w:rsid w:val="00C8186D"/>
    <w:rsid w:val="00C82440"/>
    <w:rsid w:val="00C83DAC"/>
    <w:rsid w:val="00C86256"/>
    <w:rsid w:val="00C90C34"/>
    <w:rsid w:val="00C93D04"/>
    <w:rsid w:val="00C97C7D"/>
    <w:rsid w:val="00CA1498"/>
    <w:rsid w:val="00CB134E"/>
    <w:rsid w:val="00CB1A09"/>
    <w:rsid w:val="00CB42EE"/>
    <w:rsid w:val="00CB4319"/>
    <w:rsid w:val="00CB55B6"/>
    <w:rsid w:val="00CB6A7E"/>
    <w:rsid w:val="00CC1DF5"/>
    <w:rsid w:val="00CC4B35"/>
    <w:rsid w:val="00CC641D"/>
    <w:rsid w:val="00CC6564"/>
    <w:rsid w:val="00CD0901"/>
    <w:rsid w:val="00CD1F68"/>
    <w:rsid w:val="00CD43BB"/>
    <w:rsid w:val="00CD671C"/>
    <w:rsid w:val="00CD7E3C"/>
    <w:rsid w:val="00CE0282"/>
    <w:rsid w:val="00CE4063"/>
    <w:rsid w:val="00CE6F77"/>
    <w:rsid w:val="00CF0C81"/>
    <w:rsid w:val="00CF0E74"/>
    <w:rsid w:val="00CF1F03"/>
    <w:rsid w:val="00CF39B3"/>
    <w:rsid w:val="00CF582E"/>
    <w:rsid w:val="00CF5C20"/>
    <w:rsid w:val="00CF7719"/>
    <w:rsid w:val="00D003DB"/>
    <w:rsid w:val="00D02EF9"/>
    <w:rsid w:val="00D12A55"/>
    <w:rsid w:val="00D13B91"/>
    <w:rsid w:val="00D20BCB"/>
    <w:rsid w:val="00D22944"/>
    <w:rsid w:val="00D23DA8"/>
    <w:rsid w:val="00D2499D"/>
    <w:rsid w:val="00D4511C"/>
    <w:rsid w:val="00D4685E"/>
    <w:rsid w:val="00D46A3C"/>
    <w:rsid w:val="00D50B44"/>
    <w:rsid w:val="00D55DBB"/>
    <w:rsid w:val="00D57CB5"/>
    <w:rsid w:val="00D62F7F"/>
    <w:rsid w:val="00D63D47"/>
    <w:rsid w:val="00D7542B"/>
    <w:rsid w:val="00D82F9B"/>
    <w:rsid w:val="00D85F22"/>
    <w:rsid w:val="00D86123"/>
    <w:rsid w:val="00D86E6C"/>
    <w:rsid w:val="00D90C30"/>
    <w:rsid w:val="00D917DB"/>
    <w:rsid w:val="00D9284F"/>
    <w:rsid w:val="00D94113"/>
    <w:rsid w:val="00D94919"/>
    <w:rsid w:val="00D94B86"/>
    <w:rsid w:val="00D95817"/>
    <w:rsid w:val="00DA1511"/>
    <w:rsid w:val="00DA37A1"/>
    <w:rsid w:val="00DA388E"/>
    <w:rsid w:val="00DB0DC3"/>
    <w:rsid w:val="00DB4F50"/>
    <w:rsid w:val="00DB4F79"/>
    <w:rsid w:val="00DB6CD3"/>
    <w:rsid w:val="00DB7675"/>
    <w:rsid w:val="00DB78B8"/>
    <w:rsid w:val="00DC336C"/>
    <w:rsid w:val="00DC5807"/>
    <w:rsid w:val="00DD0B03"/>
    <w:rsid w:val="00DD0B83"/>
    <w:rsid w:val="00DD3A62"/>
    <w:rsid w:val="00DE0B96"/>
    <w:rsid w:val="00DE280A"/>
    <w:rsid w:val="00DE66FE"/>
    <w:rsid w:val="00DE77AA"/>
    <w:rsid w:val="00DF19BB"/>
    <w:rsid w:val="00DF3135"/>
    <w:rsid w:val="00DF35DE"/>
    <w:rsid w:val="00DF453B"/>
    <w:rsid w:val="00E001A1"/>
    <w:rsid w:val="00E01695"/>
    <w:rsid w:val="00E0169E"/>
    <w:rsid w:val="00E05FF3"/>
    <w:rsid w:val="00E12225"/>
    <w:rsid w:val="00E15C9E"/>
    <w:rsid w:val="00E16BF3"/>
    <w:rsid w:val="00E1797C"/>
    <w:rsid w:val="00E21FB3"/>
    <w:rsid w:val="00E23EBA"/>
    <w:rsid w:val="00E2551C"/>
    <w:rsid w:val="00E25B5C"/>
    <w:rsid w:val="00E33304"/>
    <w:rsid w:val="00E37E44"/>
    <w:rsid w:val="00E422B3"/>
    <w:rsid w:val="00E521EF"/>
    <w:rsid w:val="00E533CB"/>
    <w:rsid w:val="00E554E0"/>
    <w:rsid w:val="00E60E06"/>
    <w:rsid w:val="00E6156F"/>
    <w:rsid w:val="00E61F8B"/>
    <w:rsid w:val="00E627C5"/>
    <w:rsid w:val="00E70BD2"/>
    <w:rsid w:val="00E74332"/>
    <w:rsid w:val="00E771AB"/>
    <w:rsid w:val="00E80E1B"/>
    <w:rsid w:val="00E83107"/>
    <w:rsid w:val="00E85D26"/>
    <w:rsid w:val="00E93FE5"/>
    <w:rsid w:val="00E97961"/>
    <w:rsid w:val="00EA1A34"/>
    <w:rsid w:val="00EB25B3"/>
    <w:rsid w:val="00EB6DF0"/>
    <w:rsid w:val="00EB7361"/>
    <w:rsid w:val="00EB7729"/>
    <w:rsid w:val="00EC01E7"/>
    <w:rsid w:val="00EC0430"/>
    <w:rsid w:val="00EC2EF7"/>
    <w:rsid w:val="00EC2FF4"/>
    <w:rsid w:val="00EC47F4"/>
    <w:rsid w:val="00EC4868"/>
    <w:rsid w:val="00EC7707"/>
    <w:rsid w:val="00ED2E2B"/>
    <w:rsid w:val="00ED5AF6"/>
    <w:rsid w:val="00ED5CD2"/>
    <w:rsid w:val="00EE164F"/>
    <w:rsid w:val="00EE7D6E"/>
    <w:rsid w:val="00EF00A9"/>
    <w:rsid w:val="00EF0288"/>
    <w:rsid w:val="00EF3DB8"/>
    <w:rsid w:val="00EF3F71"/>
    <w:rsid w:val="00EF5E53"/>
    <w:rsid w:val="00F048B0"/>
    <w:rsid w:val="00F05DF3"/>
    <w:rsid w:val="00F07450"/>
    <w:rsid w:val="00F11068"/>
    <w:rsid w:val="00F12877"/>
    <w:rsid w:val="00F1466A"/>
    <w:rsid w:val="00F22693"/>
    <w:rsid w:val="00F22A7A"/>
    <w:rsid w:val="00F34C90"/>
    <w:rsid w:val="00F4207B"/>
    <w:rsid w:val="00F43C77"/>
    <w:rsid w:val="00F45079"/>
    <w:rsid w:val="00F52F29"/>
    <w:rsid w:val="00F557D5"/>
    <w:rsid w:val="00F61BB3"/>
    <w:rsid w:val="00F648C4"/>
    <w:rsid w:val="00F66E46"/>
    <w:rsid w:val="00F7156C"/>
    <w:rsid w:val="00F72745"/>
    <w:rsid w:val="00F76E11"/>
    <w:rsid w:val="00F76E68"/>
    <w:rsid w:val="00F8182A"/>
    <w:rsid w:val="00F82CB1"/>
    <w:rsid w:val="00F94762"/>
    <w:rsid w:val="00F968D7"/>
    <w:rsid w:val="00F96987"/>
    <w:rsid w:val="00F97B80"/>
    <w:rsid w:val="00F97ED1"/>
    <w:rsid w:val="00FA13A8"/>
    <w:rsid w:val="00FA1798"/>
    <w:rsid w:val="00FA1F84"/>
    <w:rsid w:val="00FA261D"/>
    <w:rsid w:val="00FA51A8"/>
    <w:rsid w:val="00FA5386"/>
    <w:rsid w:val="00FB10DF"/>
    <w:rsid w:val="00FB12D4"/>
    <w:rsid w:val="00FB4DEC"/>
    <w:rsid w:val="00FB6D25"/>
    <w:rsid w:val="00FB7AA4"/>
    <w:rsid w:val="00FB7DC6"/>
    <w:rsid w:val="00FC2F5D"/>
    <w:rsid w:val="00FC3822"/>
    <w:rsid w:val="00FC4693"/>
    <w:rsid w:val="00FC53C1"/>
    <w:rsid w:val="00FC6E8B"/>
    <w:rsid w:val="00FD3959"/>
    <w:rsid w:val="00FD4B86"/>
    <w:rsid w:val="00FD62BE"/>
    <w:rsid w:val="00FD64A4"/>
    <w:rsid w:val="00FD72A7"/>
    <w:rsid w:val="00FE2B97"/>
    <w:rsid w:val="00FE4FAF"/>
    <w:rsid w:val="00FE7B31"/>
    <w:rsid w:val="00FF045D"/>
    <w:rsid w:val="00FF1B26"/>
    <w:rsid w:val="00FF58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1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Balloon Text" w:uiPriority="99"/>
    <w:lsdException w:name="Table Grid" w:uiPriority="59"/>
    <w:lsdException w:name="No Spacing" w:uiPriority="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3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9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51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7D"/>
  </w:style>
  <w:style w:type="paragraph" w:styleId="Footer">
    <w:name w:val="footer"/>
    <w:basedOn w:val="Normal"/>
    <w:link w:val="FooterChar"/>
    <w:uiPriority w:val="99"/>
    <w:unhideWhenUsed/>
    <w:rsid w:val="00C9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7D"/>
  </w:style>
  <w:style w:type="paragraph" w:styleId="NoSpacing">
    <w:name w:val="No Spacing"/>
    <w:uiPriority w:val="1"/>
    <w:qFormat/>
    <w:rsid w:val="00C97C7D"/>
    <w:pPr>
      <w:spacing w:after="0" w:line="240" w:lineRule="auto"/>
    </w:pPr>
  </w:style>
  <w:style w:type="table" w:styleId="TableGrid">
    <w:name w:val="Table Grid"/>
    <w:basedOn w:val="TableNormal"/>
    <w:uiPriority w:val="59"/>
    <w:rsid w:val="00C97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65173"/>
    <w:rPr>
      <w:rFonts w:ascii="Times New Roman" w:eastAsia="Times New Roman" w:hAnsi="Times New Roman" w:cs="Times New Roman"/>
      <w:b/>
      <w:bCs/>
      <w:sz w:val="24"/>
      <w:szCs w:val="24"/>
    </w:rPr>
  </w:style>
  <w:style w:type="paragraph" w:styleId="ListParagraph">
    <w:name w:val="List Paragraph"/>
    <w:basedOn w:val="Normal"/>
    <w:uiPriority w:val="34"/>
    <w:qFormat/>
    <w:rsid w:val="005B5398"/>
    <w:pPr>
      <w:ind w:left="720"/>
      <w:contextualSpacing/>
    </w:pPr>
  </w:style>
  <w:style w:type="character" w:customStyle="1" w:styleId="Heading2Char">
    <w:name w:val="Heading 2 Char"/>
    <w:basedOn w:val="DefaultParagraphFont"/>
    <w:link w:val="Heading2"/>
    <w:uiPriority w:val="9"/>
    <w:semiHidden/>
    <w:rsid w:val="00D13B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94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D794F"/>
    <w:rPr>
      <w:sz w:val="16"/>
      <w:szCs w:val="16"/>
    </w:rPr>
  </w:style>
  <w:style w:type="paragraph" w:styleId="CommentText">
    <w:name w:val="annotation text"/>
    <w:basedOn w:val="Normal"/>
    <w:link w:val="CommentTextChar"/>
    <w:uiPriority w:val="99"/>
    <w:semiHidden/>
    <w:unhideWhenUsed/>
    <w:rsid w:val="007D794F"/>
    <w:pPr>
      <w:spacing w:line="240" w:lineRule="auto"/>
    </w:pPr>
    <w:rPr>
      <w:sz w:val="20"/>
      <w:szCs w:val="20"/>
    </w:rPr>
  </w:style>
  <w:style w:type="character" w:customStyle="1" w:styleId="CommentTextChar">
    <w:name w:val="Comment Text Char"/>
    <w:basedOn w:val="DefaultParagraphFont"/>
    <w:link w:val="CommentText"/>
    <w:uiPriority w:val="99"/>
    <w:semiHidden/>
    <w:rsid w:val="007D794F"/>
    <w:rPr>
      <w:sz w:val="20"/>
      <w:szCs w:val="20"/>
    </w:rPr>
  </w:style>
  <w:style w:type="paragraph" w:styleId="CommentSubject">
    <w:name w:val="annotation subject"/>
    <w:basedOn w:val="CommentText"/>
    <w:next w:val="CommentText"/>
    <w:link w:val="CommentSubjectChar"/>
    <w:uiPriority w:val="99"/>
    <w:semiHidden/>
    <w:unhideWhenUsed/>
    <w:rsid w:val="007D794F"/>
    <w:rPr>
      <w:b/>
      <w:bCs/>
    </w:rPr>
  </w:style>
  <w:style w:type="character" w:customStyle="1" w:styleId="CommentSubjectChar">
    <w:name w:val="Comment Subject Char"/>
    <w:basedOn w:val="CommentTextChar"/>
    <w:link w:val="CommentSubject"/>
    <w:uiPriority w:val="99"/>
    <w:semiHidden/>
    <w:rsid w:val="007D794F"/>
    <w:rPr>
      <w:b/>
      <w:bCs/>
      <w:sz w:val="20"/>
      <w:szCs w:val="20"/>
    </w:rPr>
  </w:style>
  <w:style w:type="paragraph" w:styleId="BalloonText">
    <w:name w:val="Balloon Text"/>
    <w:basedOn w:val="Normal"/>
    <w:link w:val="BalloonTextChar"/>
    <w:uiPriority w:val="99"/>
    <w:unhideWhenUsed/>
    <w:rsid w:val="007D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794F"/>
    <w:rPr>
      <w:rFonts w:ascii="Tahoma" w:hAnsi="Tahoma" w:cs="Tahoma"/>
      <w:sz w:val="16"/>
      <w:szCs w:val="16"/>
    </w:rPr>
  </w:style>
  <w:style w:type="character" w:styleId="Hyperlink">
    <w:name w:val="Hyperlink"/>
    <w:basedOn w:val="DefaultParagraphFont"/>
    <w:uiPriority w:val="99"/>
    <w:unhideWhenUsed/>
    <w:rsid w:val="009D526B"/>
    <w:rPr>
      <w:color w:val="0000FF" w:themeColor="hyperlink"/>
      <w:u w:val="single"/>
    </w:rPr>
  </w:style>
  <w:style w:type="paragraph" w:styleId="Revision">
    <w:name w:val="Revision"/>
    <w:hidden/>
    <w:uiPriority w:val="99"/>
    <w:semiHidden/>
    <w:rsid w:val="00E521EF"/>
    <w:pPr>
      <w:spacing w:after="0" w:line="240" w:lineRule="auto"/>
    </w:pPr>
  </w:style>
  <w:style w:type="paragraph" w:styleId="DocumentMap">
    <w:name w:val="Document Map"/>
    <w:basedOn w:val="Normal"/>
    <w:link w:val="DocumentMapChar"/>
    <w:uiPriority w:val="99"/>
    <w:semiHidden/>
    <w:unhideWhenUsed/>
    <w:rsid w:val="001C2CD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C2CD6"/>
    <w:rPr>
      <w:rFonts w:ascii="Lucida Grande" w:hAnsi="Lucida Grande"/>
      <w:sz w:val="24"/>
      <w:szCs w:val="24"/>
    </w:rPr>
  </w:style>
  <w:style w:type="character" w:styleId="FollowedHyperlink">
    <w:name w:val="FollowedHyperlink"/>
    <w:basedOn w:val="DefaultParagraphFont"/>
    <w:uiPriority w:val="99"/>
    <w:semiHidden/>
    <w:unhideWhenUsed/>
    <w:rsid w:val="00552D2E"/>
    <w:rPr>
      <w:color w:val="800080" w:themeColor="followedHyperlink"/>
      <w:u w:val="single"/>
    </w:rPr>
  </w:style>
  <w:style w:type="paragraph" w:styleId="FootnoteText">
    <w:name w:val="footnote text"/>
    <w:basedOn w:val="Normal"/>
    <w:link w:val="FootnoteTextChar"/>
    <w:rsid w:val="008629CC"/>
    <w:pPr>
      <w:spacing w:after="0" w:line="240" w:lineRule="auto"/>
    </w:pPr>
    <w:rPr>
      <w:sz w:val="24"/>
      <w:szCs w:val="24"/>
    </w:rPr>
  </w:style>
  <w:style w:type="character" w:customStyle="1" w:styleId="FootnoteTextChar">
    <w:name w:val="Footnote Text Char"/>
    <w:basedOn w:val="DefaultParagraphFont"/>
    <w:link w:val="FootnoteText"/>
    <w:rsid w:val="008629CC"/>
    <w:rPr>
      <w:sz w:val="24"/>
      <w:szCs w:val="24"/>
    </w:rPr>
  </w:style>
  <w:style w:type="character" w:styleId="FootnoteReference">
    <w:name w:val="footnote reference"/>
    <w:basedOn w:val="DefaultParagraphFont"/>
    <w:rsid w:val="008629CC"/>
    <w:rPr>
      <w:vertAlign w:val="superscript"/>
    </w:rPr>
  </w:style>
  <w:style w:type="paragraph" w:styleId="EndnoteText">
    <w:name w:val="endnote text"/>
    <w:basedOn w:val="Normal"/>
    <w:link w:val="EndnoteTextChar"/>
    <w:rsid w:val="0020662E"/>
    <w:pPr>
      <w:spacing w:after="0" w:line="240" w:lineRule="auto"/>
    </w:pPr>
    <w:rPr>
      <w:sz w:val="24"/>
      <w:szCs w:val="24"/>
    </w:rPr>
  </w:style>
  <w:style w:type="character" w:customStyle="1" w:styleId="EndnoteTextChar">
    <w:name w:val="Endnote Text Char"/>
    <w:basedOn w:val="DefaultParagraphFont"/>
    <w:link w:val="EndnoteText"/>
    <w:rsid w:val="0020662E"/>
    <w:rPr>
      <w:sz w:val="24"/>
      <w:szCs w:val="24"/>
    </w:rPr>
  </w:style>
  <w:style w:type="character" w:styleId="EndnoteReference">
    <w:name w:val="endnote reference"/>
    <w:basedOn w:val="DefaultParagraphFont"/>
    <w:rsid w:val="0020662E"/>
    <w:rPr>
      <w:vertAlign w:val="superscript"/>
    </w:rPr>
  </w:style>
  <w:style w:type="character" w:styleId="PageNumber">
    <w:name w:val="page number"/>
    <w:basedOn w:val="DefaultParagraphFont"/>
    <w:rsid w:val="000525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Balloon Text" w:uiPriority="99"/>
    <w:lsdException w:name="Table Grid" w:uiPriority="59"/>
    <w:lsdException w:name="No Spacing" w:uiPriority="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3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9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51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7D"/>
  </w:style>
  <w:style w:type="paragraph" w:styleId="Footer">
    <w:name w:val="footer"/>
    <w:basedOn w:val="Normal"/>
    <w:link w:val="FooterChar"/>
    <w:uiPriority w:val="99"/>
    <w:unhideWhenUsed/>
    <w:rsid w:val="00C9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7D"/>
  </w:style>
  <w:style w:type="paragraph" w:styleId="NoSpacing">
    <w:name w:val="No Spacing"/>
    <w:uiPriority w:val="1"/>
    <w:qFormat/>
    <w:rsid w:val="00C97C7D"/>
    <w:pPr>
      <w:spacing w:after="0" w:line="240" w:lineRule="auto"/>
    </w:pPr>
  </w:style>
  <w:style w:type="table" w:styleId="TableGrid">
    <w:name w:val="Table Grid"/>
    <w:basedOn w:val="TableNormal"/>
    <w:uiPriority w:val="59"/>
    <w:rsid w:val="00C97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65173"/>
    <w:rPr>
      <w:rFonts w:ascii="Times New Roman" w:eastAsia="Times New Roman" w:hAnsi="Times New Roman" w:cs="Times New Roman"/>
      <w:b/>
      <w:bCs/>
      <w:sz w:val="24"/>
      <w:szCs w:val="24"/>
    </w:rPr>
  </w:style>
  <w:style w:type="paragraph" w:styleId="ListParagraph">
    <w:name w:val="List Paragraph"/>
    <w:basedOn w:val="Normal"/>
    <w:uiPriority w:val="34"/>
    <w:qFormat/>
    <w:rsid w:val="005B5398"/>
    <w:pPr>
      <w:ind w:left="720"/>
      <w:contextualSpacing/>
    </w:pPr>
  </w:style>
  <w:style w:type="character" w:customStyle="1" w:styleId="Heading2Char">
    <w:name w:val="Heading 2 Char"/>
    <w:basedOn w:val="DefaultParagraphFont"/>
    <w:link w:val="Heading2"/>
    <w:uiPriority w:val="9"/>
    <w:semiHidden/>
    <w:rsid w:val="00D13B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94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D794F"/>
    <w:rPr>
      <w:sz w:val="16"/>
      <w:szCs w:val="16"/>
    </w:rPr>
  </w:style>
  <w:style w:type="paragraph" w:styleId="CommentText">
    <w:name w:val="annotation text"/>
    <w:basedOn w:val="Normal"/>
    <w:link w:val="CommentTextChar"/>
    <w:uiPriority w:val="99"/>
    <w:semiHidden/>
    <w:unhideWhenUsed/>
    <w:rsid w:val="007D794F"/>
    <w:pPr>
      <w:spacing w:line="240" w:lineRule="auto"/>
    </w:pPr>
    <w:rPr>
      <w:sz w:val="20"/>
      <w:szCs w:val="20"/>
    </w:rPr>
  </w:style>
  <w:style w:type="character" w:customStyle="1" w:styleId="CommentTextChar">
    <w:name w:val="Comment Text Char"/>
    <w:basedOn w:val="DefaultParagraphFont"/>
    <w:link w:val="CommentText"/>
    <w:uiPriority w:val="99"/>
    <w:semiHidden/>
    <w:rsid w:val="007D794F"/>
    <w:rPr>
      <w:sz w:val="20"/>
      <w:szCs w:val="20"/>
    </w:rPr>
  </w:style>
  <w:style w:type="paragraph" w:styleId="CommentSubject">
    <w:name w:val="annotation subject"/>
    <w:basedOn w:val="CommentText"/>
    <w:next w:val="CommentText"/>
    <w:link w:val="CommentSubjectChar"/>
    <w:uiPriority w:val="99"/>
    <w:semiHidden/>
    <w:unhideWhenUsed/>
    <w:rsid w:val="007D794F"/>
    <w:rPr>
      <w:b/>
      <w:bCs/>
    </w:rPr>
  </w:style>
  <w:style w:type="character" w:customStyle="1" w:styleId="CommentSubjectChar">
    <w:name w:val="Comment Subject Char"/>
    <w:basedOn w:val="CommentTextChar"/>
    <w:link w:val="CommentSubject"/>
    <w:uiPriority w:val="99"/>
    <w:semiHidden/>
    <w:rsid w:val="007D794F"/>
    <w:rPr>
      <w:b/>
      <w:bCs/>
      <w:sz w:val="20"/>
      <w:szCs w:val="20"/>
    </w:rPr>
  </w:style>
  <w:style w:type="paragraph" w:styleId="BalloonText">
    <w:name w:val="Balloon Text"/>
    <w:basedOn w:val="Normal"/>
    <w:link w:val="BalloonTextChar"/>
    <w:uiPriority w:val="99"/>
    <w:unhideWhenUsed/>
    <w:rsid w:val="007D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794F"/>
    <w:rPr>
      <w:rFonts w:ascii="Tahoma" w:hAnsi="Tahoma" w:cs="Tahoma"/>
      <w:sz w:val="16"/>
      <w:szCs w:val="16"/>
    </w:rPr>
  </w:style>
  <w:style w:type="character" w:styleId="Hyperlink">
    <w:name w:val="Hyperlink"/>
    <w:basedOn w:val="DefaultParagraphFont"/>
    <w:uiPriority w:val="99"/>
    <w:unhideWhenUsed/>
    <w:rsid w:val="009D526B"/>
    <w:rPr>
      <w:color w:val="0000FF" w:themeColor="hyperlink"/>
      <w:u w:val="single"/>
    </w:rPr>
  </w:style>
  <w:style w:type="paragraph" w:styleId="Revision">
    <w:name w:val="Revision"/>
    <w:hidden/>
    <w:uiPriority w:val="99"/>
    <w:semiHidden/>
    <w:rsid w:val="00E521EF"/>
    <w:pPr>
      <w:spacing w:after="0" w:line="240" w:lineRule="auto"/>
    </w:pPr>
  </w:style>
  <w:style w:type="paragraph" w:styleId="DocumentMap">
    <w:name w:val="Document Map"/>
    <w:basedOn w:val="Normal"/>
    <w:link w:val="DocumentMapChar"/>
    <w:uiPriority w:val="99"/>
    <w:semiHidden/>
    <w:unhideWhenUsed/>
    <w:rsid w:val="001C2CD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C2CD6"/>
    <w:rPr>
      <w:rFonts w:ascii="Lucida Grande" w:hAnsi="Lucida Grande"/>
      <w:sz w:val="24"/>
      <w:szCs w:val="24"/>
    </w:rPr>
  </w:style>
  <w:style w:type="character" w:styleId="FollowedHyperlink">
    <w:name w:val="FollowedHyperlink"/>
    <w:basedOn w:val="DefaultParagraphFont"/>
    <w:uiPriority w:val="99"/>
    <w:semiHidden/>
    <w:unhideWhenUsed/>
    <w:rsid w:val="00552D2E"/>
    <w:rPr>
      <w:color w:val="800080" w:themeColor="followedHyperlink"/>
      <w:u w:val="single"/>
    </w:rPr>
  </w:style>
  <w:style w:type="paragraph" w:styleId="FootnoteText">
    <w:name w:val="footnote text"/>
    <w:basedOn w:val="Normal"/>
    <w:link w:val="FootnoteTextChar"/>
    <w:rsid w:val="008629CC"/>
    <w:pPr>
      <w:spacing w:after="0" w:line="240" w:lineRule="auto"/>
    </w:pPr>
    <w:rPr>
      <w:sz w:val="24"/>
      <w:szCs w:val="24"/>
    </w:rPr>
  </w:style>
  <w:style w:type="character" w:customStyle="1" w:styleId="FootnoteTextChar">
    <w:name w:val="Footnote Text Char"/>
    <w:basedOn w:val="DefaultParagraphFont"/>
    <w:link w:val="FootnoteText"/>
    <w:rsid w:val="008629CC"/>
    <w:rPr>
      <w:sz w:val="24"/>
      <w:szCs w:val="24"/>
    </w:rPr>
  </w:style>
  <w:style w:type="character" w:styleId="FootnoteReference">
    <w:name w:val="footnote reference"/>
    <w:basedOn w:val="DefaultParagraphFont"/>
    <w:rsid w:val="008629CC"/>
    <w:rPr>
      <w:vertAlign w:val="superscript"/>
    </w:rPr>
  </w:style>
  <w:style w:type="paragraph" w:styleId="EndnoteText">
    <w:name w:val="endnote text"/>
    <w:basedOn w:val="Normal"/>
    <w:link w:val="EndnoteTextChar"/>
    <w:rsid w:val="0020662E"/>
    <w:pPr>
      <w:spacing w:after="0" w:line="240" w:lineRule="auto"/>
    </w:pPr>
    <w:rPr>
      <w:sz w:val="24"/>
      <w:szCs w:val="24"/>
    </w:rPr>
  </w:style>
  <w:style w:type="character" w:customStyle="1" w:styleId="EndnoteTextChar">
    <w:name w:val="Endnote Text Char"/>
    <w:basedOn w:val="DefaultParagraphFont"/>
    <w:link w:val="EndnoteText"/>
    <w:rsid w:val="0020662E"/>
    <w:rPr>
      <w:sz w:val="24"/>
      <w:szCs w:val="24"/>
    </w:rPr>
  </w:style>
  <w:style w:type="character" w:styleId="EndnoteReference">
    <w:name w:val="endnote reference"/>
    <w:basedOn w:val="DefaultParagraphFont"/>
    <w:rsid w:val="0020662E"/>
    <w:rPr>
      <w:vertAlign w:val="superscript"/>
    </w:rPr>
  </w:style>
  <w:style w:type="character" w:styleId="PageNumber">
    <w:name w:val="page number"/>
    <w:basedOn w:val="DefaultParagraphFont"/>
    <w:rsid w:val="0005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715">
      <w:bodyDiv w:val="1"/>
      <w:marLeft w:val="0"/>
      <w:marRight w:val="0"/>
      <w:marTop w:val="0"/>
      <w:marBottom w:val="0"/>
      <w:divBdr>
        <w:top w:val="none" w:sz="0" w:space="0" w:color="auto"/>
        <w:left w:val="none" w:sz="0" w:space="0" w:color="auto"/>
        <w:bottom w:val="none" w:sz="0" w:space="0" w:color="auto"/>
        <w:right w:val="none" w:sz="0" w:space="0" w:color="auto"/>
      </w:divBdr>
    </w:div>
    <w:div w:id="218901388">
      <w:bodyDiv w:val="1"/>
      <w:marLeft w:val="0"/>
      <w:marRight w:val="0"/>
      <w:marTop w:val="0"/>
      <w:marBottom w:val="0"/>
      <w:divBdr>
        <w:top w:val="none" w:sz="0" w:space="0" w:color="auto"/>
        <w:left w:val="none" w:sz="0" w:space="0" w:color="auto"/>
        <w:bottom w:val="none" w:sz="0" w:space="0" w:color="auto"/>
        <w:right w:val="none" w:sz="0" w:space="0" w:color="auto"/>
      </w:divBdr>
    </w:div>
    <w:div w:id="263806812">
      <w:bodyDiv w:val="1"/>
      <w:marLeft w:val="0"/>
      <w:marRight w:val="0"/>
      <w:marTop w:val="0"/>
      <w:marBottom w:val="0"/>
      <w:divBdr>
        <w:top w:val="none" w:sz="0" w:space="0" w:color="auto"/>
        <w:left w:val="none" w:sz="0" w:space="0" w:color="auto"/>
        <w:bottom w:val="none" w:sz="0" w:space="0" w:color="auto"/>
        <w:right w:val="none" w:sz="0" w:space="0" w:color="auto"/>
      </w:divBdr>
    </w:div>
    <w:div w:id="833569048">
      <w:bodyDiv w:val="1"/>
      <w:marLeft w:val="0"/>
      <w:marRight w:val="0"/>
      <w:marTop w:val="0"/>
      <w:marBottom w:val="0"/>
      <w:divBdr>
        <w:top w:val="none" w:sz="0" w:space="0" w:color="auto"/>
        <w:left w:val="none" w:sz="0" w:space="0" w:color="auto"/>
        <w:bottom w:val="none" w:sz="0" w:space="0" w:color="auto"/>
        <w:right w:val="none" w:sz="0" w:space="0" w:color="auto"/>
      </w:divBdr>
    </w:div>
    <w:div w:id="928736216">
      <w:bodyDiv w:val="1"/>
      <w:marLeft w:val="0"/>
      <w:marRight w:val="0"/>
      <w:marTop w:val="0"/>
      <w:marBottom w:val="0"/>
      <w:divBdr>
        <w:top w:val="none" w:sz="0" w:space="0" w:color="auto"/>
        <w:left w:val="none" w:sz="0" w:space="0" w:color="auto"/>
        <w:bottom w:val="none" w:sz="0" w:space="0" w:color="auto"/>
        <w:right w:val="none" w:sz="0" w:space="0" w:color="auto"/>
      </w:divBdr>
    </w:div>
    <w:div w:id="936867047">
      <w:bodyDiv w:val="1"/>
      <w:marLeft w:val="0"/>
      <w:marRight w:val="0"/>
      <w:marTop w:val="0"/>
      <w:marBottom w:val="0"/>
      <w:divBdr>
        <w:top w:val="none" w:sz="0" w:space="0" w:color="auto"/>
        <w:left w:val="none" w:sz="0" w:space="0" w:color="auto"/>
        <w:bottom w:val="none" w:sz="0" w:space="0" w:color="auto"/>
        <w:right w:val="none" w:sz="0" w:space="0" w:color="auto"/>
      </w:divBdr>
    </w:div>
    <w:div w:id="1034231108">
      <w:bodyDiv w:val="1"/>
      <w:marLeft w:val="0"/>
      <w:marRight w:val="0"/>
      <w:marTop w:val="0"/>
      <w:marBottom w:val="0"/>
      <w:divBdr>
        <w:top w:val="none" w:sz="0" w:space="0" w:color="auto"/>
        <w:left w:val="none" w:sz="0" w:space="0" w:color="auto"/>
        <w:bottom w:val="none" w:sz="0" w:space="0" w:color="auto"/>
        <w:right w:val="none" w:sz="0" w:space="0" w:color="auto"/>
      </w:divBdr>
    </w:div>
    <w:div w:id="1078596050">
      <w:bodyDiv w:val="1"/>
      <w:marLeft w:val="0"/>
      <w:marRight w:val="0"/>
      <w:marTop w:val="0"/>
      <w:marBottom w:val="0"/>
      <w:divBdr>
        <w:top w:val="none" w:sz="0" w:space="0" w:color="auto"/>
        <w:left w:val="none" w:sz="0" w:space="0" w:color="auto"/>
        <w:bottom w:val="none" w:sz="0" w:space="0" w:color="auto"/>
        <w:right w:val="none" w:sz="0" w:space="0" w:color="auto"/>
      </w:divBdr>
    </w:div>
    <w:div w:id="1207523432">
      <w:bodyDiv w:val="1"/>
      <w:marLeft w:val="0"/>
      <w:marRight w:val="0"/>
      <w:marTop w:val="0"/>
      <w:marBottom w:val="0"/>
      <w:divBdr>
        <w:top w:val="none" w:sz="0" w:space="0" w:color="auto"/>
        <w:left w:val="none" w:sz="0" w:space="0" w:color="auto"/>
        <w:bottom w:val="none" w:sz="0" w:space="0" w:color="auto"/>
        <w:right w:val="none" w:sz="0" w:space="0" w:color="auto"/>
      </w:divBdr>
    </w:div>
    <w:div w:id="1487429677">
      <w:bodyDiv w:val="1"/>
      <w:marLeft w:val="0"/>
      <w:marRight w:val="0"/>
      <w:marTop w:val="0"/>
      <w:marBottom w:val="0"/>
      <w:divBdr>
        <w:top w:val="none" w:sz="0" w:space="0" w:color="auto"/>
        <w:left w:val="none" w:sz="0" w:space="0" w:color="auto"/>
        <w:bottom w:val="none" w:sz="0" w:space="0" w:color="auto"/>
        <w:right w:val="none" w:sz="0" w:space="0" w:color="auto"/>
      </w:divBdr>
    </w:div>
    <w:div w:id="1840847593">
      <w:bodyDiv w:val="1"/>
      <w:marLeft w:val="0"/>
      <w:marRight w:val="0"/>
      <w:marTop w:val="0"/>
      <w:marBottom w:val="0"/>
      <w:divBdr>
        <w:top w:val="none" w:sz="0" w:space="0" w:color="auto"/>
        <w:left w:val="none" w:sz="0" w:space="0" w:color="auto"/>
        <w:bottom w:val="none" w:sz="0" w:space="0" w:color="auto"/>
        <w:right w:val="none" w:sz="0" w:space="0" w:color="auto"/>
      </w:divBdr>
    </w:div>
    <w:div w:id="1917392868">
      <w:bodyDiv w:val="1"/>
      <w:marLeft w:val="0"/>
      <w:marRight w:val="0"/>
      <w:marTop w:val="0"/>
      <w:marBottom w:val="0"/>
      <w:divBdr>
        <w:top w:val="none" w:sz="0" w:space="0" w:color="auto"/>
        <w:left w:val="none" w:sz="0" w:space="0" w:color="auto"/>
        <w:bottom w:val="none" w:sz="0" w:space="0" w:color="auto"/>
        <w:right w:val="none" w:sz="0" w:space="0" w:color="auto"/>
      </w:divBdr>
    </w:div>
    <w:div w:id="19507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CB95-BC1E-A040-AA69-C97A9A9C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2811</Words>
  <Characters>16023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L. Reeves</dc:creator>
  <cp:lastModifiedBy>Evan Mcclintock</cp:lastModifiedBy>
  <cp:revision>3</cp:revision>
  <cp:lastPrinted>2015-11-16T02:06:00Z</cp:lastPrinted>
  <dcterms:created xsi:type="dcterms:W3CDTF">2019-07-03T14:47:00Z</dcterms:created>
  <dcterms:modified xsi:type="dcterms:W3CDTF">2019-07-03T14:47:00Z</dcterms:modified>
</cp:coreProperties>
</file>